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/>
      <w:bookmarkStart w:id="0" w:name="_Toc147212985"/>
      <w:r/>
      <w:bookmarkStart w:id="1" w:name="_Toc147213140"/>
      <w:r/>
      <w:bookmarkStart w:id="2" w:name="_Toc147213604"/>
      <w:r/>
      <w:bookmarkStart w:id="3" w:name="_Toc147213734"/>
      <w:r/>
      <w:bookmarkStart w:id="4" w:name="_Toc147213846"/>
      <w:r/>
      <w:bookmarkStart w:id="5" w:name="_Toc147214514"/>
      <w:r/>
      <w:bookmarkStart w:id="6" w:name="_Toc149021208"/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  <w:br/>
        <w:t xml:space="preserve">ОКПД2 27.12.31 Поставка шкафов защит линий для реализации</w:t>
      </w:r>
      <w:r>
        <w:rPr>
          <w:rFonts w:eastAsia="Calibri"/>
          <w:b/>
          <w:sz w:val="26"/>
          <w:szCs w:val="26"/>
        </w:rPr>
        <w:br/>
        <w:t xml:space="preserve">инвестиционного проекта О_505-НТЭЦ-8 для СП Николаевская ТЭЦ, в г.</w:t>
      </w:r>
      <w:r>
        <w:rPr>
          <w:rFonts w:eastAsia="Calibri"/>
          <w:b/>
          <w:sz w:val="26"/>
          <w:szCs w:val="26"/>
        </w:rPr>
        <w:br/>
        <w:t xml:space="preserve">Николаевск-на-Амуре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>
        <w:rPr>
          <w:rFonts w:eastAsia="Calibri"/>
          <w:b/>
          <w:sz w:val="26"/>
          <w:szCs w:val="26"/>
        </w:rPr>
        <w:t xml:space="preserve">22228001-ТПИР ОТМ-2025-ДГК</w:t>
      </w:r>
      <w:r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</w:p>
    <w:p>
      <w:pPr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br w:type="page" w:clear="all"/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</w:p>
    <w:p>
      <w:pPr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Технические требования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/>
        </w:rPr>
      </w:pPr>
      <w:r>
        <w:rPr>
          <w:b/>
        </w:rPr>
        <w:t xml:space="preserve">«</w:t>
      </w:r>
      <w:r>
        <w:rPr>
          <w:b/>
        </w:rPr>
        <w:t xml:space="preserve">ОКПД2 27.12.31 Поставка шкафов защит линий для реализации</w:t>
      </w:r>
      <w:r>
        <w:rPr>
          <w:b/>
        </w:rPr>
        <w:br/>
        <w:t xml:space="preserve">инвестиционного проекта О_505-НТЭЦ-8 для СП Николаевская ТЭЦ, в г.</w:t>
      </w:r>
      <w:r>
        <w:rPr>
          <w:b/>
        </w:rPr>
        <w:br/>
        <w:t xml:space="preserve">Николаевск-на-Амуре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СОДЕРЖАНИЕ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1.</w:t>
      </w:r>
      <w:r>
        <w:rPr>
          <w:rFonts w:eastAsia="Times New Roman"/>
          <w:sz w:val="22"/>
          <w:szCs w:val="22"/>
          <w:lang w:eastAsia="ru-RU"/>
        </w:rPr>
        <w:tab/>
        <w:t xml:space="preserve">Общие сведения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1.1. </w:t>
      </w:r>
      <w:r>
        <w:rPr>
          <w:rFonts w:eastAsia="Times New Roman"/>
          <w:sz w:val="22"/>
          <w:szCs w:val="22"/>
          <w:lang w:eastAsia="ru-RU"/>
        </w:rPr>
        <w:tab/>
        <w:t xml:space="preserve">Обозначения и сокращения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1.2.</w:t>
      </w:r>
      <w:r>
        <w:rPr>
          <w:rFonts w:eastAsia="Times New Roman"/>
          <w:sz w:val="22"/>
          <w:szCs w:val="22"/>
          <w:lang w:eastAsia="ru-RU"/>
        </w:rPr>
        <w:tab/>
        <w:t xml:space="preserve">Наименование закупаемой продукции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1.3.</w:t>
      </w:r>
      <w:r>
        <w:rPr>
          <w:rFonts w:eastAsia="Times New Roman"/>
          <w:sz w:val="22"/>
          <w:szCs w:val="22"/>
          <w:lang w:eastAsia="ru-RU"/>
        </w:rPr>
        <w:tab/>
        <w:t xml:space="preserve">Цель использования закупаемой продукции 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2.</w:t>
      </w:r>
      <w:r>
        <w:rPr>
          <w:rFonts w:eastAsia="Times New Roman"/>
          <w:sz w:val="22"/>
          <w:szCs w:val="22"/>
          <w:lang w:eastAsia="ru-RU"/>
        </w:rPr>
        <w:tab/>
        <w:t xml:space="preserve">Требования к продукции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2.1.</w:t>
      </w:r>
      <w:r>
        <w:rPr>
          <w:rFonts w:eastAsia="Times New Roman"/>
          <w:sz w:val="22"/>
          <w:szCs w:val="22"/>
          <w:lang w:eastAsia="ru-RU"/>
        </w:rPr>
        <w:tab/>
        <w:t xml:space="preserve">Требования к объемам и срокам </w:t>
      </w:r>
      <w:r>
        <w:rPr>
          <w:rFonts w:eastAsia="Times New Roman"/>
          <w:sz w:val="22"/>
          <w:szCs w:val="22"/>
          <w:lang w:eastAsia="ru-RU"/>
        </w:rPr>
        <w:t xml:space="preserve">поставки, требования</w:t>
      </w:r>
      <w:r>
        <w:rPr>
          <w:rFonts w:eastAsia="Times New Roman"/>
          <w:sz w:val="22"/>
          <w:szCs w:val="22"/>
          <w:lang w:eastAsia="ru-RU"/>
        </w:rPr>
        <w:t xml:space="preserve"> к продукции 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Таблица 2.1 Перечень и объем закупаемой про</w:t>
      </w:r>
      <w:r>
        <w:rPr>
          <w:rFonts w:eastAsia="Times New Roman"/>
          <w:sz w:val="22"/>
          <w:szCs w:val="22"/>
          <w:lang w:eastAsia="ru-RU"/>
        </w:rPr>
        <w:t xml:space="preserve">дукции, требования к продукции 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2.2 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 xml:space="preserve">Требования</w:t>
      </w:r>
      <w:r>
        <w:rPr>
          <w:rFonts w:eastAsia="Times New Roman"/>
          <w:sz w:val="22"/>
          <w:szCs w:val="22"/>
          <w:lang w:eastAsia="ru-RU"/>
        </w:rPr>
        <w:t xml:space="preserve"> к срокам поставки продукции 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Таблица 2.2 Требован</w:t>
      </w:r>
      <w:r>
        <w:rPr>
          <w:rFonts w:eastAsia="Times New Roman"/>
          <w:sz w:val="22"/>
          <w:szCs w:val="22"/>
          <w:lang w:eastAsia="ru-RU"/>
        </w:rPr>
        <w:t xml:space="preserve">ия по срокам поставки продукции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Таблица 3. Требования к продукции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bCs/>
        </w:rPr>
      </w:pPr>
      <w:r>
        <w:rPr>
          <w:rFonts w:eastAsia="Times New Roman"/>
          <w:sz w:val="22"/>
          <w:szCs w:val="22"/>
          <w:lang w:eastAsia="ru-RU"/>
        </w:rPr>
        <w:t xml:space="preserve">4.</w:t>
      </w:r>
      <w:r>
        <w:rPr>
          <w:rFonts w:eastAsia="Times New Roman"/>
          <w:sz w:val="22"/>
          <w:szCs w:val="22"/>
          <w:lang w:eastAsia="ru-RU"/>
        </w:rPr>
        <w:tab/>
        <w:t xml:space="preserve">Приложения</w:t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</w:r>
      <w:r>
        <w:rPr>
          <w:rFonts w:eastAsia="Times New Roman"/>
          <w:b/>
          <w:bCs/>
          <w:lang w:eastAsia="ru-RU"/>
        </w:rPr>
      </w:r>
      <w:r>
        <w:rPr>
          <w:rFonts w:eastAsia="Times New Roman"/>
          <w:b/>
          <w:bCs/>
          <w:lang w:eastAsia="ru-RU"/>
        </w:rPr>
      </w:r>
    </w:p>
    <w:p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1.Общие сведения</w:t>
      </w:r>
      <w:r>
        <w:rPr>
          <w:rFonts w:eastAsia="Times New Roman"/>
          <w:b/>
          <w:bCs/>
          <w:lang w:eastAsia="ru-RU"/>
        </w:rPr>
      </w:r>
      <w:r>
        <w:rPr>
          <w:rFonts w:eastAsia="Times New Roman"/>
          <w:b/>
          <w:bCs/>
          <w:lang w:eastAsia="ru-RU"/>
        </w:rPr>
      </w:r>
    </w:p>
    <w:p>
      <w:pPr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1.1. </w:t>
      </w:r>
      <w:r>
        <w:rPr>
          <w:rFonts w:eastAsia="Times New Roman"/>
          <w:b/>
          <w:bCs/>
          <w:lang w:eastAsia="ru-RU"/>
        </w:rPr>
        <w:t xml:space="preserve">Обозначения и сокращения</w:t>
      </w:r>
      <w:r>
        <w:rPr>
          <w:rFonts w:eastAsia="Times New Roman"/>
          <w:b/>
          <w:bCs/>
          <w:lang w:eastAsia="ru-RU"/>
        </w:rPr>
      </w:r>
      <w:r>
        <w:rPr>
          <w:rFonts w:eastAsia="Times New Roman"/>
          <w:b/>
          <w:bCs/>
          <w:lang w:eastAsia="ru-RU"/>
        </w:rPr>
      </w:r>
    </w:p>
    <w:p>
      <w:pPr>
        <w:rPr>
          <w:bCs/>
          <w:i/>
        </w:rPr>
      </w:pPr>
      <w:r>
        <w:rPr>
          <w:bCs/>
          <w:i/>
        </w:rPr>
        <w:t xml:space="preserve">СП – </w:t>
      </w:r>
      <w:r>
        <w:rPr>
          <w:bCs/>
          <w:i/>
        </w:rPr>
        <w:t xml:space="preserve">Структурное подразделение</w:t>
      </w:r>
      <w:r>
        <w:rPr>
          <w:bCs/>
          <w:i/>
        </w:rPr>
      </w:r>
      <w:r>
        <w:rPr>
          <w:bCs/>
          <w:i/>
        </w:rPr>
      </w:r>
    </w:p>
    <w:p>
      <w:pPr>
        <w:rPr>
          <w:bCs/>
          <w:i/>
        </w:rPr>
      </w:pPr>
      <w:r>
        <w:rPr>
          <w:bCs/>
          <w:i/>
        </w:rPr>
        <w:t xml:space="preserve">РЗА – релейная защита и автоматика</w:t>
      </w:r>
      <w:r>
        <w:rPr>
          <w:bCs/>
          <w:i/>
        </w:rPr>
      </w:r>
      <w:r>
        <w:rPr>
          <w:bCs/>
          <w:i/>
        </w:rPr>
      </w:r>
    </w:p>
    <w:p>
      <w:pPr>
        <w:rPr>
          <w:bCs/>
          <w:i/>
        </w:rPr>
      </w:pPr>
      <w:r>
        <w:rPr>
          <w:bCs/>
          <w:i/>
        </w:rPr>
        <w:t xml:space="preserve">РЭ – руководство по эксплуатации</w:t>
      </w:r>
      <w:r>
        <w:rPr>
          <w:bCs/>
          <w:i/>
        </w:rPr>
      </w:r>
      <w:r>
        <w:rPr>
          <w:bCs/>
          <w:i/>
        </w:rPr>
      </w:r>
    </w:p>
    <w:p>
      <w:pPr>
        <w:rPr>
          <w:bCs/>
          <w:i/>
          <w:highlight w:val="none"/>
        </w:rPr>
      </w:pPr>
      <w:r>
        <w:rPr>
          <w:bCs/>
          <w:i/>
        </w:rPr>
        <w:t xml:space="preserve">ТО – техническое описание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rPr>
          <w:bCs/>
          <w:i/>
        </w:rPr>
      </w:pPr>
      <w:r>
        <w:rPr>
          <w:bCs/>
          <w:i/>
          <w:highlight w:val="none"/>
        </w:rPr>
      </w:r>
      <w:r>
        <w:rPr>
          <w:bCs/>
          <w:i/>
          <w:highlight w:val="none"/>
        </w:rPr>
        <w:t xml:space="preserve">КСЗ+АУВ</w:t>
      </w:r>
      <w:r>
        <w:rPr>
          <w:bCs/>
          <w:i/>
          <w:highlight w:val="none"/>
        </w:rPr>
        <w:t xml:space="preserve"> – комплексная система защит и автоматики управления выключателем</w:t>
      </w:r>
      <w:r>
        <w:rPr>
          <w:bCs/>
          <w:i/>
        </w:rPr>
      </w:r>
      <w:r>
        <w:rPr>
          <w:bCs/>
          <w:i/>
        </w:rPr>
      </w:r>
    </w:p>
    <w:p>
      <w:pPr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1.</w:t>
      </w:r>
      <w:r>
        <w:rPr>
          <w:rFonts w:eastAsia="Times New Roman"/>
          <w:b/>
          <w:bCs/>
          <w:color w:val="000000"/>
          <w:lang w:eastAsia="ru-RU"/>
        </w:rPr>
        <w:t xml:space="preserve">2</w:t>
      </w:r>
      <w:r>
        <w:rPr>
          <w:rFonts w:eastAsia="Times New Roman"/>
          <w:b/>
          <w:bCs/>
          <w:color w:val="000000"/>
          <w:lang w:eastAsia="ru-RU"/>
        </w:rPr>
        <w:t xml:space="preserve">.</w:t>
      </w:r>
      <w:r>
        <w:rPr>
          <w:rFonts w:eastAsia="Times New Roman"/>
          <w:b/>
          <w:bCs/>
          <w:color w:val="000000"/>
          <w:sz w:val="14"/>
          <w:szCs w:val="14"/>
          <w:lang w:eastAsia="ru-RU"/>
        </w:rPr>
        <w:t xml:space="preserve">  </w:t>
      </w:r>
      <w:r>
        <w:rPr>
          <w:rFonts w:eastAsia="Times New Roman"/>
          <w:b/>
          <w:bCs/>
          <w:color w:val="000000"/>
          <w:lang w:eastAsia="ru-RU"/>
        </w:rPr>
        <w:t xml:space="preserve">Наименование закупаемой продукции</w:t>
      </w:r>
      <w:r>
        <w:rPr>
          <w:rFonts w:eastAsia="Times New Roman"/>
          <w:b/>
          <w:bCs/>
          <w:color w:val="000000"/>
          <w:lang w:eastAsia="ru-RU"/>
        </w:rPr>
      </w:r>
      <w:r>
        <w:rPr>
          <w:rFonts w:eastAsia="Times New Roman"/>
          <w:b/>
          <w:bCs/>
          <w:color w:val="000000"/>
          <w:lang w:eastAsia="ru-RU"/>
        </w:rPr>
      </w:r>
    </w:p>
    <w:p>
      <w:pPr>
        <w:rPr>
          <w:i/>
        </w:rPr>
      </w:pPr>
      <w:r>
        <w:rPr>
          <w:i/>
        </w:rPr>
        <w:t xml:space="preserve">Шкафы защиты линии</w:t>
      </w:r>
      <w:r>
        <w:rPr>
          <w:i/>
        </w:rPr>
      </w:r>
      <w:r>
        <w:rPr>
          <w:i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1.</w:t>
      </w:r>
      <w:r>
        <w:rPr>
          <w:rFonts w:eastAsia="Times New Roman"/>
          <w:b/>
          <w:bCs/>
          <w:color w:val="000000"/>
          <w:lang w:eastAsia="ru-RU"/>
        </w:rPr>
        <w:t xml:space="preserve">3</w:t>
      </w:r>
      <w:r>
        <w:rPr>
          <w:rFonts w:eastAsia="Times New Roman"/>
          <w:b/>
          <w:bCs/>
          <w:color w:val="000000"/>
          <w:lang w:eastAsia="ru-RU"/>
        </w:rPr>
        <w:t xml:space="preserve">.</w:t>
      </w:r>
      <w:r>
        <w:rPr>
          <w:rFonts w:eastAsia="Times New Roman"/>
          <w:b/>
          <w:bCs/>
          <w:color w:val="000000"/>
          <w:sz w:val="14"/>
          <w:szCs w:val="14"/>
          <w:lang w:eastAsia="ru-RU"/>
        </w:rPr>
        <w:t xml:space="preserve">  </w:t>
      </w:r>
      <w:r>
        <w:rPr>
          <w:rFonts w:eastAsia="Times New Roman"/>
          <w:b/>
          <w:bCs/>
          <w:color w:val="000000"/>
          <w:lang w:eastAsia="ru-RU"/>
        </w:rPr>
        <w:t xml:space="preserve">Цель использования закупаемой продукции </w:t>
      </w:r>
      <w:r>
        <w:rPr>
          <w:rFonts w:eastAsia="Times New Roman"/>
          <w:b/>
          <w:bCs/>
          <w:color w:val="000000"/>
          <w:lang w:eastAsia="ru-RU"/>
        </w:rPr>
      </w:r>
      <w:r>
        <w:rPr>
          <w:rFonts w:eastAsia="Times New Roman"/>
          <w:b/>
          <w:bCs/>
          <w:color w:val="000000"/>
          <w:lang w:eastAsia="ru-RU"/>
        </w:rPr>
      </w:r>
    </w:p>
    <w:p>
      <w:pPr>
        <w:rPr>
          <w:i/>
        </w:rPr>
        <w:sectPr>
          <w:footnotePr/>
          <w:endnotePr/>
          <w:type w:val="nextPage"/>
          <w:pgSz w:w="11906" w:h="16838" w:orient="portrait"/>
          <w:pgMar w:top="397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i/>
        </w:rPr>
        <w:t xml:space="preserve">Поставка шкафов защит линии </w:t>
      </w:r>
      <w:r>
        <w:rPr>
          <w:rFonts w:eastAsia="Times New Roman"/>
          <w:i/>
          <w:iCs/>
          <w:color w:val="000000"/>
          <w:lang w:eastAsia="ru-RU"/>
        </w:rPr>
        <w:t xml:space="preserve">110 кВ</w:t>
      </w:r>
      <w:r>
        <w:rPr>
          <w:rFonts w:eastAsia="Times New Roman"/>
          <w:i/>
          <w:iCs/>
          <w:color w:val="000000"/>
          <w:lang w:eastAsia="ru-RU"/>
        </w:rPr>
        <w:t xml:space="preserve"> для замены устаревших защит</w:t>
      </w:r>
      <w:r>
        <w:rPr>
          <w:i/>
        </w:rPr>
      </w:r>
      <w:r>
        <w:rPr>
          <w:i/>
        </w:rPr>
      </w:r>
    </w:p>
    <w:p>
      <w:pPr>
        <w:pStyle w:val="902"/>
        <w:numPr>
          <w:ilvl w:val="0"/>
          <w:numId w:val="30"/>
        </w:numPr>
        <w:jc w:val="center"/>
        <w:rPr>
          <w:caps/>
          <w:lang w:val="ru-RU"/>
        </w:rPr>
      </w:pPr>
      <w:r/>
      <w:bookmarkStart w:id="7" w:name="_Toc51339693"/>
      <w:r/>
      <w:bookmarkStart w:id="8" w:name="_Toc125724277"/>
      <w:r>
        <w:t xml:space="preserve">Требования к продукции</w:t>
      </w:r>
      <w:bookmarkEnd w:id="7"/>
      <w:r/>
      <w:bookmarkEnd w:id="8"/>
      <w:r>
        <w:rPr>
          <w:caps/>
          <w:lang w:val="ru-RU"/>
        </w:rPr>
      </w:r>
      <w:r>
        <w:rPr>
          <w:caps/>
          <w:lang w:val="ru-RU"/>
        </w:rPr>
      </w:r>
    </w:p>
    <w:p>
      <w:pPr>
        <w:pStyle w:val="904"/>
        <w:numPr>
          <w:ilvl w:val="1"/>
          <w:numId w:val="30"/>
        </w:numPr>
      </w:pPr>
      <w:r/>
      <w:bookmarkStart w:id="9" w:name="_Toc125724278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9"/>
      <w:r/>
      <w:r/>
    </w:p>
    <w:p>
      <w:pPr>
        <w:pStyle w:val="902"/>
        <w:numPr>
          <w:ilvl w:val="0"/>
          <w:numId w:val="0"/>
        </w:numPr>
        <w:ind w:left="142"/>
        <w:keepLines/>
        <w:spacing w:before="240"/>
        <w:rPr>
          <w:sz w:val="24"/>
          <w:szCs w:val="24"/>
          <w:lang w:val="ru-RU"/>
        </w:rPr>
      </w:pPr>
      <w:r/>
      <w:bookmarkStart w:id="10" w:name="_Toc51339695"/>
      <w:r/>
      <w:bookmarkStart w:id="11" w:name="_Toc125724280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2.</w:t>
      </w:r>
      <w:r>
        <w:rPr>
          <w:sz w:val="24"/>
          <w:szCs w:val="24"/>
          <w:lang w:val="ru-RU"/>
        </w:rPr>
        <w:t xml:space="preserve">1 </w:t>
      </w:r>
      <w:r>
        <w:rPr>
          <w:sz w:val="24"/>
          <w:szCs w:val="24"/>
          <w:lang w:val="ru-RU"/>
        </w:rPr>
        <w:t xml:space="preserve">Перечень </w:t>
      </w:r>
      <w:bookmarkEnd w:id="10"/>
      <w:r>
        <w:rPr>
          <w:sz w:val="24"/>
          <w:szCs w:val="24"/>
          <w:lang w:val="ru-RU"/>
        </w:rPr>
        <w:t xml:space="preserve">и объем закупаемой продукции</w:t>
      </w:r>
      <w:bookmarkEnd w:id="11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10"/>
        <w:tblW w:w="0" w:type="auto"/>
        <w:tblLayout w:type="fixed"/>
        <w:tblLook w:val="04A0" w:firstRow="1" w:lastRow="0" w:firstColumn="1" w:lastColumn="0" w:noHBand="0" w:noVBand="1"/>
      </w:tblPr>
      <w:tblGrid>
        <w:gridCol w:w="178"/>
        <w:gridCol w:w="887"/>
        <w:gridCol w:w="1025"/>
        <w:gridCol w:w="806"/>
        <w:gridCol w:w="228"/>
        <w:gridCol w:w="1391"/>
        <w:gridCol w:w="579"/>
        <w:gridCol w:w="646"/>
        <w:gridCol w:w="986"/>
        <w:gridCol w:w="918"/>
        <w:gridCol w:w="806"/>
        <w:gridCol w:w="625"/>
        <w:gridCol w:w="994"/>
        <w:gridCol w:w="918"/>
        <w:gridCol w:w="918"/>
        <w:gridCol w:w="982"/>
        <w:gridCol w:w="918"/>
        <w:gridCol w:w="918"/>
      </w:tblGrid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№ п/п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Наименование продукции</w:t>
            </w:r>
            <w:r/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Требование заказчика</w:t>
            </w:r>
            <w:r/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Предложение участника </w:t>
            </w:r>
            <w:r/>
            <w:r/>
          </w:p>
        </w:tc>
      </w:tr>
      <w:tr>
        <w:tblPrEx/>
        <w:trPr>
          <w:trHeight w:val="8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Код товара, работы, услуги по Общероссийскому классификатору продукции по видам экономической деятельности ОК 034-2014 (КПЕС 2008)</w:t>
            </w: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Технические и функциональные характеристики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Документы, устанавливающие технические требования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Единица измерения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Количество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Национальный режим</w:t>
              <w:br/>
              <w:t xml:space="preserve">(Постановления Правительства от 23.12.2024 № 1875)</w:t>
              <w:br/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Наименование продукции </w:t>
            </w: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Технические и функциональные характеристики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Документы, устанавливающие технические требования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01f35"/>
                <w:sz w:val="22"/>
                <w:u w:val="none"/>
                <w:vertAlign w:val="baseline"/>
              </w:rPr>
              <w:t xml:space="preserve">Единица измерения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01f35"/>
                <w:sz w:val="22"/>
                <w:u w:val="none"/>
                <w:vertAlign w:val="baseline"/>
              </w:rPr>
              <w:t xml:space="preserve">Количество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Страна происхождения товара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Производитель продукции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Наименование реестра и номер реестровой записи (если применимо)*</w:t>
            </w:r>
            <w:r/>
            <w:r/>
          </w:p>
        </w:tc>
      </w:tr>
      <w:tr>
        <w:tblPrEx/>
        <w:trPr>
          <w:trHeight w:val="15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5" w:type="dxa"/>
            <w:vAlign w:val="top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Наименование параметра /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</w:rPr>
              <w:t xml:space="preserve">Показатель параметра</w:t>
            </w:r>
            <w:r/>
            <w:r/>
          </w:p>
          <w:p>
            <w:pPr>
              <w:jc w:val="center"/>
            </w:pPr>
            <w:r/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Наименование параметра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Показатель параметра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01f35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01f35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  <w:r/>
          </w:p>
        </w:tc>
      </w:tr>
      <w:tr>
        <w:tblPrEx/>
        <w:trPr>
          <w:trHeight w:val="288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</w:rPr>
              <w:t xml:space="preserve">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7" w:type="dxa"/>
            <w:vAlign w:val="center"/>
            <w:textDirection w:val="lrTb"/>
            <w:noWrap w:val="false"/>
          </w:tcPr>
          <w:p>
            <w:pPr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Шкаф</w:t>
            </w:r>
            <w:r>
              <w:rPr>
                <w:b/>
                <w:i/>
                <w:sz w:val="22"/>
              </w:rPr>
              <w:t xml:space="preserve"> дистанционной защиты линии </w:t>
            </w:r>
            <w:r>
              <w:rPr>
                <w:b/>
                <w:i/>
                <w:sz w:val="22"/>
              </w:rPr>
              <w:t xml:space="preserve">110 кВ</w:t>
            </w:r>
            <w:r>
              <w:rPr>
                <w:b/>
                <w:i/>
                <w:sz w:val="22"/>
              </w:rPr>
            </w:r>
            <w:r>
              <w:rPr>
                <w:b/>
                <w:i/>
                <w:sz w:val="22"/>
              </w:rPr>
            </w:r>
          </w:p>
          <w:p>
            <w:pPr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Ш2600 06.560 06.560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  <w:p>
            <w:pPr>
              <w:ind w:left="0" w:right="57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201f35"/>
                <w:sz w:val="20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highlight w:val="none"/>
                <w:u w:val="none"/>
                <w:vertAlign w:val="baseline"/>
              </w:rPr>
              <w:t xml:space="preserve">27.12.31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4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В соответствии с Таблицей № 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1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</w:rPr>
              <w:t xml:space="preserve">Реконструкция панелей защит ВЛ-110 кВ СП Николаевская ТЭЦ, 2 ШТ (Проект О-505-НТЭЦ-8-023-РЗ) 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9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компл.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center"/>
            <w:textDirection w:val="lrTb"/>
            <w:noWrap w:val="false"/>
          </w:tcPr>
          <w:p>
            <w:pPr>
              <w:ind w:left="57" w:right="57"/>
              <w:jc w:val="righ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201f35"/>
                <w:sz w:val="20"/>
                <w:u w:val="none"/>
                <w:vertAlign w:val="baseline"/>
              </w:rPr>
              <w:t xml:space="preserve">2,000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6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201f35"/>
                <w:sz w:val="20"/>
                <w:u w:val="none"/>
                <w:vertAlign w:val="baseline"/>
              </w:rPr>
              <w:t xml:space="preserve">Установлен режим ограничения закупки иностранной продукции (когда национальный режим не предоставляется)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Способ подтверждения: указание наименования предлагаемой продукции.</w:t>
            </w:r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1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Способ подтверждения: указание характеристик / параметров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4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Способ подтверждения: согласие с требованием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Способ подтверждения: согласие с требованием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Способ подтверждения: согласие с требованием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2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Способ подтверждения: в соответствии с общероссийским классификатором стран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Способ подтверждения:  указание наименование производителя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0"/>
                <w:u w:val="none"/>
                <w:vertAlign w:val="baseline"/>
              </w:rPr>
              <w:t xml:space="preserve">Способ подтверждения: указание  Реестра, № реестровой записи*</w:t>
            </w:r>
            <w:r/>
            <w:r/>
          </w:p>
        </w:tc>
      </w:tr>
    </w:tbl>
    <w:p>
      <w:pPr>
        <w:ind w:left="142"/>
        <w:jc w:val="both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  <w:t xml:space="preserve">*</w:t>
      </w:r>
      <w:r>
        <w:rPr>
          <w:b w:val="0"/>
          <w:bCs w:val="0"/>
          <w:sz w:val="20"/>
          <w:szCs w:val="20"/>
        </w:rPr>
        <w:t xml:space="preserve">№ реестровой записи - номер реестровой записи из реестра российской промышленной продукции, предусмотренного статьей 171 Федерального закона "О промышленной политике в Российской Федерации", содержащей в том числе: информацию о совокупном количестве баллов</w:t>
      </w:r>
      <w:r>
        <w:rPr>
          <w:b w:val="0"/>
          <w:bCs w:val="0"/>
          <w:sz w:val="20"/>
          <w:szCs w:val="20"/>
        </w:rPr>
        <w:t xml:space="preserve"> </w:t>
      </w:r>
      <w:r>
        <w:rPr>
          <w:b w:val="0"/>
          <w:bCs w:val="0"/>
          <w:sz w:val="20"/>
          <w:szCs w:val="20"/>
        </w:rPr>
        <w:t xml:space="preserve">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 г. N 719 "О подтверждении производства российской промышленной </w:t>
      </w:r>
      <w:r>
        <w:rPr>
          <w:b w:val="0"/>
          <w:bCs w:val="0"/>
          <w:sz w:val="20"/>
          <w:szCs w:val="20"/>
        </w:rPr>
        <w:t xml:space="preserve">п</w:t>
      </w:r>
      <w:r>
        <w:rPr>
          <w:b w:val="0"/>
          <w:bCs w:val="0"/>
          <w:sz w:val="20"/>
          <w:szCs w:val="20"/>
        </w:rPr>
        <w:t xml:space="preserve">родукции"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</w:t>
      </w:r>
      <w:r>
        <w:rPr>
          <w:b w:val="0"/>
          <w:bCs w:val="0"/>
          <w:sz w:val="20"/>
          <w:szCs w:val="20"/>
        </w:rPr>
        <w:t xml:space="preserve"> </w:t>
      </w:r>
      <w:r>
        <w:rPr>
          <w:b w:val="0"/>
          <w:bCs w:val="0"/>
          <w:sz w:val="20"/>
          <w:szCs w:val="20"/>
        </w:rPr>
        <w:t xml:space="preserve">Федерации от 17 июля 2015 г. N 719 "О подтверждении производства российской промышленной продукции" (далее по тексту Постановление № 719   для целей осуществления закупок/номер реестровой записи из евразийского реестра промышленных товаров государств - чле</w:t>
      </w:r>
      <w:r>
        <w:rPr>
          <w:b w:val="0"/>
          <w:bCs w:val="0"/>
          <w:sz w:val="20"/>
          <w:szCs w:val="20"/>
        </w:rPr>
        <w:t xml:space="preserve">н</w:t>
      </w:r>
      <w:r>
        <w:rPr>
          <w:b w:val="0"/>
          <w:bCs w:val="0"/>
          <w:sz w:val="20"/>
          <w:szCs w:val="20"/>
        </w:rPr>
        <w:t xml:space="preserve">ов Евразийского экономического союза, порядок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 информацию о совокупном количестве баллов за в</w:t>
      </w:r>
      <w:r>
        <w:rPr>
          <w:b w:val="0"/>
          <w:bCs w:val="0"/>
          <w:sz w:val="20"/>
          <w:szCs w:val="20"/>
        </w:rPr>
        <w:t xml:space="preserve">ы</w:t>
      </w:r>
      <w:r>
        <w:rPr>
          <w:b w:val="0"/>
          <w:bCs w:val="0"/>
          <w:sz w:val="20"/>
          <w:szCs w:val="20"/>
        </w:rPr>
        <w:t xml:space="preserve">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выполнение (освоение) на территории Евразийского экономического союза соответ</w:t>
      </w:r>
      <w:r>
        <w:rPr>
          <w:b w:val="0"/>
          <w:bCs w:val="0"/>
          <w:sz w:val="20"/>
          <w:szCs w:val="20"/>
        </w:rPr>
        <w:t xml:space="preserve">с</w:t>
      </w:r>
      <w:r>
        <w:rPr>
          <w:b w:val="0"/>
          <w:bCs w:val="0"/>
          <w:sz w:val="20"/>
          <w:szCs w:val="20"/>
        </w:rPr>
        <w:t xml:space="preserve">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союза. Совокупное количество баллов: должно соответствовать требованиям Постановле</w:t>
      </w:r>
      <w:r>
        <w:rPr>
          <w:b w:val="0"/>
          <w:bCs w:val="0"/>
          <w:sz w:val="20"/>
          <w:szCs w:val="20"/>
        </w:rPr>
        <w:t xml:space="preserve">н</w:t>
      </w:r>
      <w:r>
        <w:rPr>
          <w:b w:val="0"/>
          <w:bCs w:val="0"/>
          <w:sz w:val="20"/>
          <w:szCs w:val="20"/>
        </w:rPr>
        <w:t xml:space="preserve">ия № 719 информация о совокупном количестве баллов, если такие баллы предусмотрены в постановлении Правительства  № 719 или Решению Совета Евразийской экономической комиссии от 23 ноября 2020 г. №105 "Об утверждении Правил определения страны происхождения </w:t>
      </w:r>
      <w:r>
        <w:rPr>
          <w:b w:val="0"/>
          <w:bCs w:val="0"/>
          <w:sz w:val="20"/>
          <w:szCs w:val="20"/>
        </w:rPr>
        <w:t xml:space="preserve">отдельных видов товаров для целей государственных (муниципальных) закупок".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r/>
      <w:r/>
    </w:p>
    <w:p>
      <w:pPr>
        <w:ind w:left="142"/>
        <w:rPr>
          <w:b/>
        </w:rPr>
      </w:pPr>
      <w:r>
        <w:rPr>
          <w:b/>
        </w:rPr>
        <w:t xml:space="preserve">2.2</w:t>
      </w:r>
      <w:r>
        <w:rPr>
          <w:b/>
        </w:rPr>
        <w:t xml:space="preserve">.</w:t>
      </w:r>
      <w:r>
        <w:rPr>
          <w:b/>
        </w:rPr>
        <w:t xml:space="preserve"> Требования к срокам поставки продукции</w:t>
      </w:r>
      <w:r>
        <w:rPr>
          <w:b/>
        </w:rPr>
      </w:r>
      <w:r>
        <w:rPr>
          <w:b/>
        </w:rPr>
      </w:r>
    </w:p>
    <w:p>
      <w:pPr>
        <w:ind w:left="14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2"/>
        <w:numPr>
          <w:ilvl w:val="0"/>
          <w:numId w:val="0"/>
        </w:numPr>
        <w:ind w:left="142"/>
        <w:keepLines/>
        <w:spacing w:before="0" w:after="0"/>
        <w:rPr>
          <w:sz w:val="24"/>
          <w:szCs w:val="24"/>
          <w:lang w:val="ru-RU"/>
        </w:rPr>
      </w:pPr>
      <w:r/>
      <w:bookmarkStart w:id="12" w:name="_Toc50125127"/>
      <w:r/>
      <w:bookmarkStart w:id="13" w:name="_Toc51339697"/>
      <w:r/>
      <w:bookmarkStart w:id="14" w:name="_Toc12572428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bookmarkStart w:id="15" w:name="_Hlk50465284"/>
      <w:r>
        <w:rPr>
          <w:sz w:val="24"/>
          <w:szCs w:val="24"/>
        </w:rPr>
        <w:t xml:space="preserve">Требования по срокам </w:t>
      </w:r>
      <w:bookmarkEnd w:id="12"/>
      <w:r/>
      <w:bookmarkEnd w:id="13"/>
      <w:r/>
      <w:bookmarkEnd w:id="15"/>
      <w:r>
        <w:rPr>
          <w:sz w:val="24"/>
          <w:szCs w:val="24"/>
          <w:lang w:val="ru-RU"/>
        </w:rPr>
        <w:t xml:space="preserve">поставки продукции</w:t>
      </w:r>
      <w:bookmarkEnd w:id="14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541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959"/>
        <w:gridCol w:w="3543"/>
        <w:gridCol w:w="4785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shd w:val="clear" w:color="auto" w:fill="auto"/>
            <w:tcW w:w="59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</w:t>
            </w:r>
            <w:r>
              <w:t xml:space="preserve">продукции / партии продукции</w:t>
            </w:r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</w:pPr>
            <w:r>
              <w:t xml:space="preserve">Требования к началу срока </w:t>
            </w:r>
            <w:r>
              <w:t xml:space="preserve">поставки продукции</w:t>
            </w:r>
            <w:r/>
          </w:p>
        </w:tc>
        <w:tc>
          <w:tcPr>
            <w:tcW w:w="4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Требования к окончанию срока </w:t>
            </w:r>
            <w:r>
              <w:t xml:space="preserve">поставки продукции</w:t>
            </w:r>
            <w:r/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1</w:t>
            </w:r>
            <w:r/>
          </w:p>
        </w:tc>
        <w:tc>
          <w:tcPr>
            <w:shd w:val="clear" w:color="auto" w:fill="auto"/>
            <w:tcW w:w="5959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36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5" w:type="dxa"/>
            <w:textDirection w:val="lrTb"/>
            <w:noWrap w:val="false"/>
          </w:tcPr>
          <w:p>
            <w:pPr>
              <w:pStyle w:val="936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pStyle w:val="920"/>
              <w:numPr>
                <w:ilvl w:val="0"/>
                <w:numId w:val="17"/>
              </w:numPr>
            </w:pPr>
            <w:r/>
            <w:r/>
          </w:p>
        </w:tc>
        <w:tc>
          <w:tcPr>
            <w:shd w:val="clear" w:color="auto" w:fill="auto"/>
            <w:tcW w:w="5959" w:type="dxa"/>
            <w:vAlign w:val="center"/>
            <w:textDirection w:val="lrTb"/>
            <w:noWrap w:val="false"/>
          </w:tcPr>
          <w:p>
            <w:pPr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Шкаф</w:t>
            </w:r>
            <w:r>
              <w:rPr>
                <w:b/>
                <w:i/>
                <w:sz w:val="22"/>
              </w:rPr>
              <w:t xml:space="preserve"> дистанционной защиты линии </w:t>
            </w:r>
            <w:r>
              <w:rPr>
                <w:b/>
                <w:i/>
                <w:sz w:val="22"/>
              </w:rPr>
              <w:t xml:space="preserve">110 кВ</w:t>
            </w:r>
            <w:r>
              <w:rPr>
                <w:b/>
                <w:i/>
                <w:sz w:val="22"/>
              </w:rPr>
            </w:r>
            <w:r>
              <w:rPr>
                <w:b/>
                <w:i/>
                <w:sz w:val="22"/>
              </w:rPr>
            </w:r>
          </w:p>
          <w:p>
            <w:pPr>
              <w:jc w:val="both"/>
            </w:pPr>
            <w:r>
              <w:rPr>
                <w:b/>
                <w:i/>
                <w:sz w:val="22"/>
              </w:rPr>
              <w:t xml:space="preserve">Ш2600 06.560 06.560</w:t>
            </w:r>
            <w:r>
              <w:rPr>
                <w:i/>
                <w:sz w:val="22"/>
              </w:rPr>
            </w:r>
            <w:r/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 даты </w:t>
            </w:r>
            <w:r>
              <w:rPr>
                <w:sz w:val="24"/>
                <w:szCs w:val="24"/>
                <w:highlight w:val="none"/>
              </w:rPr>
              <w:t xml:space="preserve">получения заявки Поставщиком в 2025 году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785" w:type="dxa"/>
            <w:vAlign w:val="center"/>
            <w:textDirection w:val="lrTb"/>
            <w:noWrap w:val="false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В течение 120 (сто двадцать) календарных дней с даты получения заявки поставщиком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r/>
      <w:r/>
    </w:p>
    <w:p>
      <w:pPr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</w:rPr>
        <w:t xml:space="preserve">Таблица 3. Требования к продукции для </w:t>
      </w:r>
      <w:r>
        <w:rPr>
          <w:b/>
        </w:rPr>
        <w:t xml:space="preserve">ОКПД2 27.12.31 Поставка шкафов защит линий для реализации</w:t>
      </w:r>
      <w:r>
        <w:rPr>
          <w:b/>
        </w:rPr>
        <w:t xml:space="preserve"> инвестиционного проекта </w:t>
        <w:br/>
      </w:r>
      <w:r>
        <w:rPr>
          <w:b/>
        </w:rPr>
        <w:t xml:space="preserve">О_505-НТЭЦ-8 для СП Николаевская ТЭЦ, в г.</w:t>
      </w:r>
      <w:r>
        <w:rPr>
          <w:b/>
        </w:rPr>
        <w:t xml:space="preserve">Николаевск-на-Амуре</w:t>
      </w:r>
      <w:r>
        <w:rPr>
          <w:b/>
        </w:rPr>
      </w:r>
      <w:r>
        <w:rPr>
          <w:b/>
          <w:bCs/>
          <w:highlight w:val="none"/>
        </w:rPr>
      </w:r>
    </w:p>
    <w:p>
      <w:pPr>
        <w:ind w:left="142" w:hanging="6"/>
      </w:pPr>
      <w:r/>
      <w:bookmarkEnd w:id="0"/>
      <w:r/>
      <w:bookmarkEnd w:id="1"/>
      <w:r/>
      <w:bookmarkEnd w:id="2"/>
      <w:r/>
      <w:bookmarkEnd w:id="3"/>
      <w:r/>
      <w:bookmarkEnd w:id="4"/>
      <w:r/>
      <w:bookmarkEnd w:id="5"/>
      <w:r/>
      <w:bookmarkEnd w:id="6"/>
      <w:r/>
      <w:r/>
    </w:p>
    <w:p>
      <w:pPr>
        <w:ind w:firstLine="709"/>
        <w:jc w:val="both"/>
        <w:rPr>
          <w:b/>
        </w:rPr>
      </w:pPr>
      <w:r>
        <w:rPr>
          <w:b/>
        </w:rPr>
        <w:t xml:space="preserve">Требования к документации.</w:t>
      </w:r>
      <w:r>
        <w:rPr>
          <w:b/>
        </w:rPr>
      </w:r>
      <w:r>
        <w:rPr>
          <w:b/>
        </w:rPr>
      </w:r>
    </w:p>
    <w:p>
      <w:pPr>
        <w:pStyle w:val="920"/>
        <w:numPr>
          <w:ilvl w:val="0"/>
          <w:numId w:val="8"/>
        </w:numPr>
        <w:ind w:left="0" w:firstLine="709"/>
        <w:jc w:val="both"/>
      </w:pPr>
      <w:r>
        <w:t xml:space="preserve">Заявка участника в обязательном порядке должна содержать подробное описание конструкции, технических характеристик предлагаемой продукции, её товарную марку, которая идентифицирует продукцию производителя или продавца, страну происхождения и изготовителя.</w:t>
      </w:r>
      <w:r>
        <w:t xml:space="preserve"> </w:t>
      </w:r>
      <w:r/>
    </w:p>
    <w:p>
      <w:pPr>
        <w:pStyle w:val="920"/>
        <w:numPr>
          <w:ilvl w:val="0"/>
          <w:numId w:val="8"/>
        </w:numPr>
        <w:ind w:left="0" w:firstLine="709"/>
        <w:jc w:val="both"/>
      </w:pPr>
      <w:r>
        <w:t xml:space="preserve">Заявка должна включать в себя руководства по эксплуатации, технические описания, сертификаты соответствия для подтверждения всех технических требований.</w:t>
      </w:r>
      <w:r/>
    </w:p>
    <w:p>
      <w:r/>
      <w:r/>
    </w:p>
    <w:p>
      <w:r/>
      <w:r/>
    </w:p>
    <w:tbl>
      <w:tblPr>
        <w:tblW w:w="1553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67"/>
        <w:gridCol w:w="5270"/>
        <w:gridCol w:w="2180"/>
        <w:gridCol w:w="2562"/>
        <w:gridCol w:w="2943"/>
        <w:gridCol w:w="1810"/>
      </w:tblGrid>
      <w:tr>
        <w:tblPrEx/>
        <w:trPr>
          <w:trHeight w:val="76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параметра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1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Требования заказчика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Способ подтверждения участником соответствия требованиям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участника по характеристикам и параметрам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18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Согласие с требованием/ указание характеристик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bottom"/>
            <w:textDirection w:val="lrTb"/>
            <w:noWrap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Общие требования: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Тип терминала с функцией КСЗ+АУВ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ТОР 300 КСЗ 560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Количество терминалов с функцией КСЗ+АУВ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Полное соответствие рабочей документации «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РЕКОНСТРУКЦИЯ ПАНЕЛЕЙ ЗАЩИТ ВЛ-110 кВ СП НИКОЛАЕВСКАЯ ТЭЦ, 2 ШТ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О-505-НТЭЦ-8-023-РЗ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(Приложение 1 к Техническим требованиям)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 Аналоговые входы: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Количество аналоговых входов,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Номинальный переменный фазный ток (Iном),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1(5)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Номинальный ток нулевой последовательности (3I0),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0,02/0,2/1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Диапазон контролируемых значений тока (Iном),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и 5 А: (0,01 - 60)Iном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Диапазон контролируемых значений тока нулевой последовательности (3I0),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0,2 А: (0,002 - 12)А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Термическая стойкость токовых цепей (длительно/кратковременно 1с),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4Iном/100Iном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Термическая стойкость токовых цепей 3I0 (длительно/кратковременно 1с),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А: 4/100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0,2 А: 0,8/20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Номинальное линейное напряжение (Uном),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Диапазон контролируемых значений напряжения, Uном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0,025 - 2,5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Термическая стойкость цепей напряжения (длительно/в течение 1 с)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(2,5 / 3,5) Uном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2.11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Потребляемая мощность по цепям переменного напряжения, ВА, на фазу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2.12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Потребляемая мощность при номинальном токе, ВА на фазу, не более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0,1 (Iном=0,2 А)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0,2 (Iном=1 А)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0,5 (Iном=5 А)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2.13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Погрешность по цепям переменного тока, по амплитуде, 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(0,2-60)Iном: ±1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(0,05-0,2)Iном: ±3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2.14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Погрешность по цепям переменного напряжения, по амплитуде, 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(0,5-1)В: ±1,5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(1-3)В: ±1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(3-150)В: ±0,5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2.15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Номинальная частота, Гц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2.16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Рабочий диапазон частоты переменного тока, Гц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50±5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3. Напряжение оперативного постоянного тока терминалов: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Напряжение оперативного питания,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~/= 110/220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(24-300 по заказу)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Потребляемая мощность (покой/срабатывание), Вт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20/30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Допустимый уровень пульсации постоянного и выпрямленного напряжения от Uном, 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±12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Устойчивость к 100% провалам напряжения, 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Время готовности блока к срабатыванию, после включения, 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Импульс тока в момент включения,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Время готовности при первом включении не более, 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4. Дискретные входы: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Количество дискретных входов,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/>
            <w:bookmarkStart w:id="21" w:name="RANGE!B44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Напряжение оперативного питания дискретных входов, В</w:t>
            </w:r>
            <w:bookmarkEnd w:id="21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~/= 220/110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Уровни напряжения управления, Uном: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порог срабатывания дискретного входа,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220 В: 158-170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110 В: 79-85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порог возврата дискретного входа,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220 В: 154-132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110 В: 77-66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Устойчивость к перенапряжению дискретного входа,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~250 В/=300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Время срабатывания,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0-30 мс шагом 1 мс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Потребляемый ток при поданном напряжении управления, не более, мА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220 В: 2,5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110 В: 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Амплитуда импульса режекции тока, мА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40(20)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Длительность импульса режекции тока,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15-25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Аппаратная задержка на срабатывание,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5. Дискретные выходы: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Количество дискретных выходов,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Диапазон коммутируемых напряжений,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~295/=418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Длительно коммутируемый переменный ток при замыкании / размыкании цепи,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Длительно коммутируемый постоянный ток при замыкании / размыкании цепи (активно-индуктивная нагрузка с постоянной времени L/R не более 20 мс),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реле управления КА: 10А / 0,25А;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сигнальное двухполюсное реле: 8А / 0,6А;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двухпозиционное реле: 2А / 0,2А;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быстродействующее полупроводниковое реле: 2А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Коммутационная износостойкость контактов выходных реле,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реле управления КА: 10000 циклов;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сигнальное двухполюсное реле: 50000 циклов;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двухпозиционное реле: 50000 циклов;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быстродействующее полупроводниковые реле: неограниченно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6. Аппаратные характеристики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6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Коммуникационные интерфейсы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Передний порт: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USB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2.0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Задние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порты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2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 Ethernet 100 Base-T(F),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2 x RS-485/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ВОЛС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/ Ethernet 100 Base-T(F)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</w:tc>
      </w:tr>
      <w:tr>
        <w:tblPrEx/>
        <w:trPr>
          <w:trHeight w:val="13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Протоколы передачи данных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IEEE C37.94,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ModBus-RTU(TCP),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МЭК 60870-5-101,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МЭК 60870-5-103,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МЭК 60870-5-104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56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МЭК 61850-8-1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МЭК 61850-9-2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Протоколы резервирования для приема и передачи данных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МЭК 62439-3 PRP, HSR, RSTP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Поддержка МЭК 61850-8-1 (MMS, GOOSE)*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Поддерживается.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Поддержка МЭК 61850-9-2 (SV)*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Поддерживается.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Синхронизация времени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PPS (медный) (от GPS или подстанционной системы синхронизации), МЭК 60870-5-103,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МЭК 60870-5-104,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Modbus, SpaBus, NTP, SNTP, NMEA0183, PTPv2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Максимальное количество хранимых осциллограмм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170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Общая длина осциллограмм, 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300 с при 1000 Гц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200 с при 2000 Гц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Количество сигналов в осциллограмме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аналоговые: от 1 до 48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дискретные: до 256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Частота выборки, Гц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1000, 2000, 4000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Длительность записи предшествующего режима (до возникновения условия пуска)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(100 – 5000) мс,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шаг 100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Длительность записи поставарийного режима (аварийный режим + послеаварийный режим)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(500 – 5000) мс,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шаг 100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Максимальная длительность режима,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(1000 – 10000)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Максимальное количество записей РАС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 1500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Возможность добавления сигналов в осциллограмму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Русифицированные интерфейсы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Функцию защиты от несанкционированных действий пользователя, исключение несанкционированного изменения конфигурации терминала (в частности «матрицы» отключений») посредством системы паролей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Проверки качества (аттестации) оборудования, на основании комплекта технической документации в соответствии с СТО 56947007-29.240.01.251-2017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Да, на момент поставки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6.19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Климатическое исполнение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УХЛ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Категория размещения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Предельное нижнее рабочее значение температуры окружающего воздуха, °С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-40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Предельное верхнее рабочее значение температуры окружающего воздуха, °С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исполнение оболочки со степенью защиты с лицевой панели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IP54 с лицевой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IP20 с задней стороны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Габаритные размеры (Ш х В х Г), не более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268.8 х 266 х 266 мм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Масса, не более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 кг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0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Возможность выбора режима работы функциональными клавишами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Режим кнопки или режим переключателя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Средняя наработка на отказ, не менее, часов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125 000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Срок службы (при условии проведения требуемых технических мероприятий по обслуживанию) должен быть не менее, лет.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6.29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Гарантийный срок эксплуатации (с момента поставки), не менее, лет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6.30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Возможность интеграции в систему АСУ ТП различных производителей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7. Требования к производителю оборудования: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7.1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 русскоязычной службы технической поддержки на поставляемое оборудование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5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7.2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При выборе оборудования, следует отдавать предпочтение отечественным производителям микропроцессорных устройств РЗА, согласно статье 18 федерального закона 488-ФЗ от 31.12.2014 г. «О промышленной политике в Российской Федерации» в действующей редакции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7.3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Средняя основная погрешность по напряжению срабатывания ИО минимального напряжения составляет, не более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±3 % от уставки или ±5 % от номинальной величины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bottom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8. Цепи переменного тока устройств: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Номинальный ток Iн,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1(5)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Ток термической стойкости (длительно)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* Iн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Ток односекундной стойкости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100 * Iн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Рабочий диапазон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(0,04 – 60) * Iн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Потребление на фазу в симметричном режиме при Iн, ВА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≤ 0,2(0,5)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4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Устройства должны правильно работать с принятым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временем срабатывания при КЗ в зоне с периодической составляющей до 30 х Iном при максимальной апериодической составляющей с постоянной времени до 0,3 сек, если токовая погрешность тр-ров тока не превышает 50% в установившемся режиме при активной нагрузке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9. Цепи переменного напряжения устройств: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Линейное номинальное,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Uн = 100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Напряжение термической стойкости (длительно)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2,5 * Uн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Напряжение односекундной стойкости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3,5 * Uн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Напряжение термической стойкости 3U0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2,5 * Uн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Напряжение односекундной стойкости 3U0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3,5 * Uн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Рабочий диапазон напряжений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(0,025- 2,5) * Uн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Потребление на фазу при Uн, ВА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≤ 0,5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9.8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Потребление по 3U0 при Uн, ВА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≤ 0,5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 Рабочая частота устройств: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Номинальная частота, Гц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fн = 50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Рабочий диапазон частот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(0,9 – 1,1) * fн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11. Напряжение оперативного постоянного тока устройств: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Номинальное напряжение,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Uн = 220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Рабочий диапазон напряжений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(0,8 – 1,1) * Uн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Потребление при Uпн в номинальном режиме (при отсутствии КЗ в сети), Вт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Pн ≤ 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Потребление при наличии КЗ в сети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&lt; 1,5 * Рн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Пульсация в напряжении постоянного тока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 более 12% от среднего значения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Подача напряжения обратной полярности не должна вызывать повреждения устройства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12. Бинарные входы терминалов: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Постоянное номинальное напряжение каждого входа,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Uвх.н = 220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Рабочий диапазон напряжений каждого входа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(0,8 – 1,1) *Uвх.н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Напряжение “срабатывания” входа, Uном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158-170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Коэффициент возврата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Кв ≥ 0,95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Первоначальный импульс тока входа (затем допустимо его затухание) не менее, мА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40(20)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13. Контактные выходы терминалов: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Исключают гальваническую связь с элементами, расположенными внутри терминала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Содержат замыкающие контакты без общей точки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Содержат размыкающие контакты без общей точки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Коммутируют напряжение постоянного тока,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24-250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Обеспечивают размыкание тока 1/0,4/0,2/0,15А при напряжении соответственно при 48/110/220/250 В и постоянной времени цепи L/R ≤ 40мс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Контакты, коммутирующие цепи отключения и включения выключателей должны обеспечивать замыкание токов: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-10 А, на время, с;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1,0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-15 А, на время, с;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-30 А, на время, с;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-40 А, на время, с;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длительное протекание тока,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Коммутационная способность контактов на размыкание, 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 менее 0,25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Коммутационная износостойкость контактов, циклов, при выполнении пунктов 6.6 и 6.7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 менее 2000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5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13.10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Коммутационная способность реле, действующих в цепи внешней сигнализации, должна быть не менее 30 Вт в цепях оперативного постоянного тока с индуктивной нагрузкой и постоянной времени, не превышающей 0,02с при напряжении до 250 В и токе до 2А.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14. Терминалы должны иметь: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27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программируемую логику как между различными функциями защиты, управления и контроля, входящими в состав МП устройств, так и между этими функциями и внешними устройствами защиты, управления и контроля;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дополнительную свободно программируемую логику;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27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алгоритмы функционирования защит, обеспечивающие селективную работу этих быстродействующих защит при насыщении ТТ, с учетом расчетных значений времени до насыщения ТТ (см. Приложение Г)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5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алгоритмы защит, которые по принципу действия могут функционировать с отдельными неиспользуемыми измерительными органами, должны предусматривать возможность отключения этих измерительных органов при помощи программных накладок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27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синхронизацию времени по протоколу NTPv4 (и/или IEEE 1588v2 Precision Time Protocol (PTP)), при этом должна быть обеспечена возможность прохождения пакета NTP от сервера времени до синхронизируемых устройств;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Абсолютная погрешность синхронизации часов устройства РЗА с системным временем, мс, не более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Автоматическое восстановление точного времени (синхронизация времени) при восстановлении питания оперативным током МП терминала после перерыва в его работе любой длительности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Автоматическое восстановление точного времени (синхронизация времени) после пропадания внешнего источника синхронизации (системы синхронизация времени или синхронизации от АСУ ТП)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Погрешность внутренних часов устройства при пропадании оперативного тока или потери внешней синхронизации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 более 1с в сутки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режим работы системы самодиагностики;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при включении; фоновый, постоянно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не менее 16 групп уставок (для всех устройств РЗА)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5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возможность установки всех регулируемых параметров, с клавиатуры и дисплея терминала (интерфейса человек-машина ИЧМ), с помощью персонального компьютера (ПК), подключаемого к специальному входу терминала, и с верхнего уровня управления (АСУ ТП);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5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память для хра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нения констант, кода программ и данных саморегистрации, а также для регистрации аварийных событий, каналов связи с ПК, АСУ ТП ПС, местного пульта управления. При этом неисправность этой памяти не должны приводить к потере работоспособности устройства РЗА;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энергонезависимая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два стационарных независимых интерфейса (2 порта типа Duplex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LC, каждый порт Duplex LC имеет один выделенный канал передачи данных Tx и один выделенный канал приема данных Rx) для связи с ПТК АСУ ТП, для удаленного доступа через ПТК (АРМ РЗА) и взаимодействие между терминалами РЗА по станционной шине МЭК 61850-8-1;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поддержку функции горячего резервирования портов или наличие протокола PRP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интерфейс для подключения переносного ПК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USB или Ethernet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27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подключаться к станционной шине ПТК по резервированным каналам передачи данных Ethernet. В качестве основного протокола интеграции используется МЭК 61850-8-1 (MMS - для среднего и верхнего уровня; GOOSE - для горизонтального обмена);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обеспечивать безопасность данных и коммуникаций согласно IEC 62351-3:2018, IEC 62351-4:2018 и IEC/TS 62351-6:2007, а также иных стандартов в области защиты информации на объектах электросетевого хозяйства.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2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14.19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местную светодиодную сигнализацию и контактную сигнализацию действия на отключение и неисправности. Светодиоды, относящиеся к функциона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льным клавишам управления режимами работы функций РЗА размещаются при технической возможности, совместно с функциональными клавишами. Для сброса светодиодной индикации по месту предусматривается кнопка «Сброс сигнализации» на лицевой панели МП устройства;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14.20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русифицированные интерфейсы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ru-RU"/>
              </w:rPr>
              <w:t xml:space="preserve">14.21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ru-RU"/>
              </w:rPr>
              <w:t xml:space="preserve">- заключение аттестационной комиссии о соответствии требованиям стандартов и дополнительным требованиям ПАО «ФСК ЕЭС» (ПАО «Россети») для применения на объектах электросетевого хозяйства.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  <w:highlight w:val="none"/>
              </w:rPr>
            </w:pPr>
            <w:r>
              <w:rPr>
                <w:sz w:val="20"/>
                <w:szCs w:val="22"/>
                <w:highlight w:val="none"/>
              </w:rPr>
              <w:t xml:space="preserve">Предоставить в составе заявки (ВТОРЫЕ ЧАСТИ) </w:t>
            </w:r>
            <w:r>
              <w:rPr>
                <w:sz w:val="20"/>
                <w:szCs w:val="22"/>
                <w:highlight w:val="none"/>
              </w:rPr>
              <w:t xml:space="preserve">протокол по продлению срока действия/утверждения аттестационной комиссией о соответствии требованиям стандартов и дополнительным требованиям ПАО «ФСК ЕЭС» (ПАО «Россети») для применения на объектах электросетевого хозяйства</w:t>
            </w:r>
            <w:r>
              <w:rPr>
                <w:sz w:val="20"/>
                <w:szCs w:val="22"/>
                <w:highlight w:val="none"/>
              </w:rPr>
              <w:t xml:space="preserve"> предлагаемой к поставке серийной продукции</w:t>
            </w:r>
            <w:r>
              <w:rPr>
                <w:sz w:val="20"/>
                <w:szCs w:val="22"/>
                <w:highlight w:val="none"/>
              </w:rPr>
            </w:r>
            <w:r>
              <w:rPr>
                <w:sz w:val="20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15. Терминалы должны соответствовать: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РД 34.35.310-97;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СТО 56947007-29.120.70.241-2017 «Технические требования к микропроцессорным устройствам РЗА»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ГОСТам на электрическую аппаратуру напряжением до 1000 В;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нормам и правилам МЭК по обеспечению электромагнитной совместимости;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испытаниям в соответствии с ГОСТ 51317.4.1-2000, (МЭК 61000-4-1-2000);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части воздействия факторов внешней среды - требованиям группы механического исполнения М43 по ГОСТ 30631-99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Требованиям сейсмостойкости при воздействии землетрясений интенсивностью 9 баллов по MSK-64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15.8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Степень загрязнения 1 по ГОСТ IEC 61439-1-2013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16. Терминалы должны осуществлять: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регистрацию событий;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0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отображение на ИЧМ измеренных и вычисленных электрических величин для функций РЗА;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регистрацию электромагнитных переходных процессов, связанных с короткими замыканиями и работой устройств РЗА и ПА;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регистрацию сигналов/сообщений, поступающих от устройств РЗА и ПА, в процессе их работы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контроль остаточного механического ресурса выключателя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17. В комплекте со шкафами и терминалами каждого типа должны поставляться: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0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17.1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программное обеспечение (русифицированный вариант) для: общения с терминалами, настройки параметров и конфигурации, регистрации, считывания и просмотра осциллограмм;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17.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документация на русском языке.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18. Документация должна содержать: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описание принципов работы;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технические характеристики;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алгоритмы встроенных функций и функциональные схемы, описание их функционирования и взаимодействия внутри терминала;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 рекомендации по выбору параметров настройки терминала;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инструкции по наладке и эксплуатации.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27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Фирмы поставщики обору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дования должны иметь в России технический центр по оказанию необходимой помощи при проектировании, наладке и эксплуатации применяемых устройств управления и защиты (представить список технических специалистов (по видам оборудования) и их контактные данные)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Фирмы поставщики оборудования РЗА должны предоставить схемы параметрирования и схемы внутренней логики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Срок службы системы РЗА (при условии проведения требуемых технических мероприятий по обслуживанию) должен быть не менее, лет.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Гарантийное сопровождение с момента ввода в эксплуатацию, лет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Гарантийный ремонт организуют поставщики оборудования в срок не более, дней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Количество портов Ethernet -TX/FX,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Поддержка протокола IEC 61850-8-1 GOOSE по портам шины станции и шины процесса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Прием GOOSE-сообщений по портам шины станции,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64 GOOSE по 100 сигналов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Отправка GOOSE-сообщений по портам шины станции,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32 GOOSE по 100 сигналов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Прием и отправка GOOSE-сообщений по портам шины процесса,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 GOOSE по 20 сигналов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Прием и отправка логические сигналы (однопозиционные и двухпозиционные состояния) в произвольной структуре данных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Прием сигналов при помощи GOOSE-сообщений с контролем качества самих сигналов и контролем тестового флага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Время между приемом сигнала и его отправкой в GOOSE-сообщении должно составлять, не более по шине станции,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18.19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Время между приемом сигнала и его отправкой в GOOSE-сообщении должно составлять, не более по шине процесса,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Поддержка организации виртуальной сети VLAN на портах шины процесса и шины станции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18.21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Автоматическое переключение между основным/резервным источником GOOSE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18.22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Диагностика приема GOOSE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18.23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Сервисное ПО для подготовки CID/ICD файлов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18.24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Поддержка протоколов резервирования PRP/HSR, на портах шины процесса и PRP/HSR/PSTP для шины станции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18.25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Поддержка операции чтения осциллограмм с устройства по протоколу MMS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18.26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Поддержка конфигурирования команд дистанционного управления, количество, не менее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Требуемые функции защит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 дистанционной защиты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Обеспечивается отсутствие ложных срабатываний ИО сопротивления с контролем органа направленности при КЗ «за спиной» при токах до 30 Iном.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Автоматическое ускорение ДЗ (АУ ДЗ)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Блокировка при качаниях по замеру тока (БК I)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Блокировка при качаниях по замеру сопротивления (БК Z)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Общий критерий повреждения по замеру сопротивления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(ОКП Z)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Время возврата (срабатывания) максимальных (минимальных) ИО тока при сбросе тока от 10 Iсраб до нуля составляет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не более 30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Уставка ОКП по оси Х в прямом направлении по каналу «фаза-фаза», 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1 до 500 (шаг 0,01)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Минимальное сопротивление нагрузки по оси R, 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1 до 500 (шаг 0,01)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Угол отстройки от нагрузочного режима, градус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5 до 60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Токовая направленная защита нулевой последовательности (ТНЗНП)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Количество ступеней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ТНЗНП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Для обеспечения направленности ТНЗНП используются два реле направления 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ощности нулевой последовательности (РНМНП): разрешающее, которое срабатывает при направлении мощности нулевой последовательности от защищаемого объекта к шинам, и блокирующее, которое срабатывает при обратном направлении мощности нулевой последовательности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Ток срабатывания прямонаправленного РНМНП, % от Iном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5 до 150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Минимальное утроенное напряжение нулевой последовательности для работы РНМНП, % от 3U0ном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0,5 до 100 (шаг 0,1)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Минимальное напряжение обратной последовательности для работы РНМОП, % от Uф.ном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0,5 до 100 (шаг 0,1)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Коэффициент возврата РНМ по току и напряжению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 менее 0,9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Время срабатывания РНМ  при одновременной подаче синусоидального напряжения 3 Uсраб и тока 3 Iсраб.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 превышает 35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Время возврата РНМ с при одновременном сбросе напряжения от 3 Uсраб до нуля и тока от 3 Iсраб до нуля.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 превышает 40 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Токовая отсечка (ТО)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Ток срабатывания ТО, % от Iном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15 до 3000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Максимальная токовая защита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Ток срабатывания ступени МТЗ, % от Iном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15 до 3000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Автоматическая разгрузка при перегрузке по току (АРПТ)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Ток прямой последовательности первой ступени АРПТ, % от Iном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15 до 500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Блокировка при неисправностях в цепях напряжения (БНН)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Блокировка при длительном отсутствии напряжения (БДОН)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Защита от обрыва проводника (ЗОП)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Контроль целостности цепей управления (Контроль ЦУ)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Защита от непереключения фаз (ЗНФ)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Защита электромагнитов выключателя от длительного протекания тока (Защита ЭМО и ЭМВ)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Контроль затягивания отключения и включения выключателя (Контроль затягивания)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Выдержка времени на прием сигнала о блокировании управления выключателем,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700 до 20000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Выдержка защиты непереключения фаз,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100 до 20000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Выдержка времени сигнализации неисправности при потере оперативного тока,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1000 до 30000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Защита от неполнофазного режима (ЗНР)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Устройство резервирования отказа выключателя (УРОВ)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руководство по эксплуатации предлагаемой к поставке серийной продукции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Фазный ток УРОВ, % от Iном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4 до 100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Замедление отключения смежных выключателей,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10 до 30000 (шаг 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Замедление повторного отключения своего выключателя, мс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 0 до 30000 (шаг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Защита от понижения напряжения (ЗМН)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Наличие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 Конструктивные параметры шкафа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Предоставить в составе заявки (ВТОРЫЕ ЧАСТИ) техническое описание / технические условия, по которым изготавливается предлагаемая к поставке серийная продукция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Габаритные размеры (ВхШхГ), мм, не более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2000х800х600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Задняя дверь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Сплошная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Передняя дверь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Стеклянная или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 обзорным окном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Подвод кабеля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Снизу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Согласие с требованием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Высота цоколя, мм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 Требования к документации в составе заявки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7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70" w:type="dxa"/>
            <w:vAlign w:val="center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составе заявки участник должен предоставить следующие документы: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Указание характеристик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должен предоставить в составе заявки </w:t>
            </w:r>
            <w:r>
              <w:rPr>
                <w:sz w:val="20"/>
                <w:szCs w:val="22"/>
              </w:rPr>
              <w:t xml:space="preserve">(ВТОРЫЕ ЧАСТИ)</w:t>
            </w:r>
            <w:r>
              <w:rPr>
                <w:sz w:val="20"/>
                <w:szCs w:val="20"/>
              </w:rPr>
              <w:t xml:space="preserve"> отсканированные копии (полный текст) документов: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Декларации соответствия, на предлагаемую продукцию (соответствия Технического регламента Таможенного союза ТР ТС 004/2011 «О безопасности низковольтного оборудования»;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Технического регламента Таможенного союза ТР ТС 020/2011 «Электромагнитная совместимость технических средств»;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 о соответствии должна иметь статус действующего документа и удовлетворять требованиям ГОСТ Р 56532-2015.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файлов в документации участника должно полностью соответствовать вышеуказанному пункту).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02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4. Требования к </w:t>
      </w:r>
      <w:r>
        <w:rPr>
          <w:sz w:val="24"/>
          <w:szCs w:val="24"/>
          <w:lang w:val="ru-RU"/>
        </w:rPr>
        <w:t xml:space="preserve">качеству продукции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0"/>
        <w:tblW w:w="15470" w:type="dxa"/>
        <w:tblInd w:w="1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1740"/>
        <w:gridCol w:w="30"/>
        <w:gridCol w:w="1837"/>
        <w:gridCol w:w="3685"/>
        <w:gridCol w:w="2115"/>
        <w:gridCol w:w="3261"/>
        <w:gridCol w:w="1951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3"/>
            <w:tcW w:w="360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53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9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9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3"/>
            <w:tcW w:w="36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1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20"/>
              <w:numPr>
                <w:ilvl w:val="0"/>
                <w:numId w:val="34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4"/>
            <w:tcW w:w="729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</w:tr>
      <w:tr>
        <w:tblPrEx/>
        <w:trPr>
          <w:trHeight w:val="255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20"/>
              <w:numPr>
                <w:ilvl w:val="1"/>
                <w:numId w:val="34"/>
              </w:numPr>
              <w:ind w:left="-117" w:firstLine="142"/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gridSpan w:val="3"/>
            <w:tcW w:w="3607" w:type="dxa"/>
            <w:vAlign w:val="center"/>
            <w:textDirection w:val="lrTb"/>
            <w:noWrap w:val="false"/>
          </w:tcPr>
          <w:p>
            <w:pPr>
              <w:pStyle w:val="981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0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i w:val="0"/>
                  <w:iCs w:val="0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981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981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981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982"/>
              <w:numPr>
                <w:ilvl w:val="0"/>
                <w:numId w:val="35"/>
              </w:numPr>
              <w:ind w:left="0" w:right="0" w:firstLine="0"/>
              <w:jc w:val="both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982"/>
              <w:numPr>
                <w:ilvl w:val="0"/>
                <w:numId w:val="35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982"/>
              <w:numPr>
                <w:ilvl w:val="0"/>
                <w:numId w:val="35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Первой части заявки Техническое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pPr>
        <w:sectPr>
          <w:footnotePr/>
          <w:endnotePr/>
          <w:type w:val="nextPage"/>
          <w:pgSz w:w="16838" w:h="11906" w:orient="landscape"/>
          <w:pgMar w:top="992" w:right="395" w:bottom="851" w:left="992" w:header="680" w:footer="737" w:gutter="0"/>
          <w:cols w:num="1" w:sep="0" w:space="708" w:equalWidth="1"/>
          <w:docGrid w:linePitch="360"/>
          <w:titlePg/>
        </w:sectPr>
      </w:pPr>
      <w:r/>
      <w:r/>
    </w:p>
    <w:p>
      <w:pPr>
        <w:pStyle w:val="902"/>
        <w:numPr>
          <w:ilvl w:val="0"/>
          <w:numId w:val="0"/>
        </w:numPr>
        <w:ind w:left="709" w:hanging="360"/>
        <w:keepLines/>
        <w:rPr>
          <w:iCs/>
        </w:rPr>
      </w:pPr>
      <w:r/>
      <w:bookmarkStart w:id="22" w:name="_Toc53393312"/>
      <w:r/>
      <w:bookmarkStart w:id="23" w:name="_Toc125724292"/>
      <w:r/>
      <w:bookmarkStart w:id="24" w:name="_Toc46743519"/>
      <w:r/>
      <w:bookmarkStart w:id="25" w:name="_Toc51339699"/>
      <w:r>
        <w:rPr>
          <w:iCs/>
        </w:rPr>
        <w:t xml:space="preserve">3. </w:t>
      </w:r>
      <w:r>
        <w:rPr>
          <w:iCs/>
        </w:rPr>
        <w:t xml:space="preserve">Требования к документации по ценообразованию</w:t>
      </w:r>
      <w:bookmarkEnd w:id="22"/>
      <w:r/>
      <w:bookmarkEnd w:id="23"/>
      <w:r>
        <w:rPr>
          <w:iCs/>
        </w:rPr>
        <w:t xml:space="preserve"> </w:t>
      </w:r>
      <w:r>
        <w:rPr>
          <w:iCs/>
        </w:rPr>
      </w:r>
      <w:r>
        <w:rPr>
          <w:iCs/>
        </w:rPr>
      </w:r>
    </w:p>
    <w:p>
      <w:pPr>
        <w:ind w:left="567"/>
        <w:jc w:val="both"/>
        <w:widowControl w:val="off"/>
        <w:tabs>
          <w:tab w:val="left" w:pos="284" w:leader="none"/>
          <w:tab w:val="left" w:pos="851" w:leader="none"/>
          <w:tab w:val="left" w:pos="993" w:leader="none"/>
        </w:tabs>
        <w:rPr>
          <w:i/>
          <w:iCs/>
        </w:rPr>
      </w:pPr>
      <w:r>
        <w:rPr>
          <w:i/>
          <w:iCs/>
        </w:rPr>
        <w:t xml:space="preserve">Отсутствуют</w:t>
      </w:r>
      <w:r>
        <w:rPr>
          <w:i/>
          <w:iCs/>
        </w:rPr>
        <w:t xml:space="preserve">.</w:t>
      </w:r>
      <w:r>
        <w:rPr>
          <w:i/>
          <w:iCs/>
        </w:rPr>
      </w:r>
      <w:r>
        <w:rPr>
          <w:i/>
          <w:iCs/>
        </w:rPr>
      </w:r>
    </w:p>
    <w:p>
      <w:pPr>
        <w:ind w:firstLine="567"/>
        <w:jc w:val="both"/>
        <w:widowControl w:val="off"/>
        <w:tabs>
          <w:tab w:val="left" w:pos="284" w:leader="none"/>
          <w:tab w:val="left" w:pos="851" w:leader="none"/>
          <w:tab w:val="left" w:pos="993" w:leader="none"/>
        </w:tabs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902"/>
        <w:numPr>
          <w:ilvl w:val="0"/>
          <w:numId w:val="31"/>
        </w:numPr>
        <w:keepLines/>
        <w:rPr>
          <w:iCs/>
          <w:caps/>
        </w:rPr>
      </w:pPr>
      <w:r/>
      <w:bookmarkStart w:id="26" w:name="_Toc125724293"/>
      <w:r/>
      <w:bookmarkEnd w:id="24"/>
      <w:r/>
      <w:bookmarkEnd w:id="25"/>
      <w:r>
        <w:rPr>
          <w:iCs/>
        </w:rPr>
        <w:t xml:space="preserve">Приложения</w:t>
      </w:r>
      <w:bookmarkEnd w:id="26"/>
      <w:r>
        <w:rPr>
          <w:iCs/>
          <w:caps/>
        </w:rPr>
      </w:r>
      <w:r>
        <w:rPr>
          <w:iCs/>
          <w:caps/>
        </w:rPr>
      </w:r>
    </w:p>
    <w:p>
      <w:pPr>
        <w:ind w:left="567"/>
        <w:jc w:val="both"/>
        <w:widowControl w:val="off"/>
        <w:tabs>
          <w:tab w:val="left" w:pos="284" w:leader="none"/>
          <w:tab w:val="left" w:pos="851" w:leader="none"/>
          <w:tab w:val="left" w:pos="993" w:leader="none"/>
        </w:tabs>
        <w:rPr>
          <w:i/>
          <w:iCs/>
        </w:rPr>
      </w:pPr>
      <w:r>
        <w:rPr>
          <w:i/>
          <w:iCs/>
        </w:rPr>
        <w:t xml:space="preserve">Отсутствуют.</w:t>
      </w:r>
      <w:r>
        <w:rPr>
          <w:i/>
          <w:iCs/>
        </w:rPr>
      </w:r>
      <w:r>
        <w:rPr>
          <w:i/>
          <w:iCs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937"/>
          <w:b w:val="0"/>
          <w:bCs/>
          <w:iCs/>
        </w:rPr>
      </w:pPr>
      <w:r>
        <w:rPr>
          <w:b w:val="0"/>
          <w:bCs/>
          <w:iCs/>
        </w:rPr>
      </w:r>
      <w:r>
        <w:rPr>
          <w:rStyle w:val="937"/>
          <w:b w:val="0"/>
          <w:bCs/>
          <w:iCs/>
        </w:rPr>
      </w:r>
      <w:r>
        <w:rPr>
          <w:rStyle w:val="937"/>
          <w:b w:val="0"/>
          <w:bCs/>
          <w:iCs/>
        </w:rPr>
      </w:r>
    </w:p>
    <w:p>
      <w:pPr>
        <w:rPr>
          <w:i/>
          <w:iCs/>
          <w:lang w:val="en-US"/>
        </w:rPr>
      </w:pPr>
      <w:r>
        <w:rPr>
          <w:i/>
          <w:iCs/>
          <w:lang w:val="en-US"/>
        </w:rPr>
        <w:br w:type="page" w:clear="all"/>
      </w:r>
      <w:r>
        <w:rPr>
          <w:i/>
          <w:iCs/>
          <w:lang w:val="en-US"/>
        </w:rPr>
      </w:r>
      <w:r>
        <w:rPr>
          <w:i/>
          <w:iCs/>
          <w:lang w:val="en-US"/>
        </w:rPr>
      </w:r>
    </w:p>
    <w:p>
      <w:pPr>
        <w:jc w:val="right"/>
        <w:rPr>
          <w:i/>
          <w:iCs/>
        </w:rPr>
      </w:pPr>
      <w:r>
        <w:rPr>
          <w:i/>
          <w:iCs/>
          <w:lang w:val="en-US"/>
        </w:rPr>
        <w:t xml:space="preserve">[</w:t>
      </w:r>
      <w:r>
        <w:rPr>
          <w:i/>
          <w:iCs/>
        </w:rPr>
        <w:t xml:space="preserve">Приложение №</w:t>
      </w:r>
      <w:r>
        <w:rPr>
          <w:i/>
          <w:iCs/>
        </w:rPr>
        <w:t xml:space="preserve">2</w:t>
      </w:r>
      <w:r>
        <w:rPr>
          <w:i/>
          <w:iCs/>
        </w:rPr>
        <w:t xml:space="preserve"> к ТТ</w:t>
      </w:r>
      <w:r>
        <w:rPr>
          <w:i/>
          <w:iCs/>
          <w:lang w:val="en-US"/>
        </w:rPr>
        <w:t xml:space="preserve">]</w:t>
      </w:r>
      <w:r>
        <w:rPr>
          <w:i/>
          <w:iCs/>
        </w:rPr>
      </w:r>
      <w:r>
        <w:rPr>
          <w:i/>
          <w:iCs/>
        </w:rPr>
      </w:r>
    </w:p>
    <w:p>
      <w:pPr>
        <w:pStyle w:val="941"/>
        <w:numPr>
          <w:ilvl w:val="1"/>
          <w:numId w:val="23"/>
        </w:numPr>
        <w:keepNext/>
        <w:spacing w:before="120" w:line="240" w:lineRule="auto"/>
        <w:tabs>
          <w:tab w:val="left" w:pos="360" w:leader="none"/>
          <w:tab w:val="left" w:pos="709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Спецификация поставляемой продукции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pPr w:horzAnchor="text" w:tblpX="108" w:vertAnchor="text" w:tblpY="1" w:leftFromText="180" w:topFromText="0" w:rightFromText="180" w:bottomFromText="0"/>
        <w:tblW w:w="15189" w:type="dxa"/>
        <w:tblLayout w:type="fixed"/>
        <w:tblLook w:val="04A0" w:firstRow="1" w:lastRow="0" w:firstColumn="1" w:lastColumn="0" w:noHBand="0" w:noVBand="1"/>
      </w:tblPr>
      <w:tblGrid>
        <w:gridCol w:w="985"/>
        <w:gridCol w:w="2979"/>
        <w:gridCol w:w="1274"/>
        <w:gridCol w:w="1582"/>
        <w:gridCol w:w="1417"/>
        <w:gridCol w:w="860"/>
        <w:gridCol w:w="845"/>
        <w:gridCol w:w="1275"/>
        <w:gridCol w:w="1274"/>
        <w:gridCol w:w="1275"/>
        <w:gridCol w:w="1423"/>
      </w:tblGrid>
      <w:tr>
        <w:tblPrEx/>
        <w:trPr>
          <w:trHeight w:val="10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п/п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9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продукции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Тип, марка, артикул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Изготовитель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Технические характеристики (описание)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Ед. изм.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5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Стоимость ед. (руб. с НДС) </w:t>
            </w:r>
            <w:r>
              <w:rPr>
                <w:rStyle w:val="940"/>
                <w:color w:val="000000"/>
                <w:sz w:val="22"/>
                <w:szCs w:val="22"/>
              </w:rPr>
              <w:footnoteReference w:id="2"/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Общая стоимость (руб. с НДС)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Срок поставки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3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Перечень документов, подтверждающих качество Оборудования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97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7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8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9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10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11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90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dxa"/>
            <w:textDirection w:val="lrTb"/>
            <w:noWrap w:val="false"/>
          </w:tcPr>
          <w:p>
            <w:pPr>
              <w:pStyle w:val="920"/>
              <w:numPr>
                <w:ilvl w:val="0"/>
                <w:numId w:val="24"/>
              </w:numPr>
              <w:jc w:val="center"/>
              <w:keepLines/>
              <w:spacing w:after="20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979" w:type="dxa"/>
            <w:vAlign w:val="center"/>
            <w:textDirection w:val="lrTb"/>
            <w:noWrap w:val="false"/>
          </w:tcPr>
          <w:p>
            <w:pPr>
              <w:ind w:left="142" w:right="0" w:firstLine="0"/>
            </w:pPr>
            <w:r>
              <w:rPr>
                <w:b/>
                <w:i/>
                <w:sz w:val="22"/>
              </w:rPr>
              <w:t xml:space="preserve">Шкаф дистанционной защиты линии 110 кВ</w:t>
            </w:r>
            <w:r/>
          </w:p>
          <w:p>
            <w:pPr>
              <w:ind w:left="142" w:right="0" w:firstLine="0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Ш2600 06.560 06.560</w:t>
            </w:r>
            <w:r>
              <w:rPr>
                <w:b/>
                <w:i/>
                <w:sz w:val="22"/>
              </w:rPr>
            </w:r>
            <w:r>
              <w:rPr>
                <w:b/>
                <w:i/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</w:pPr>
            <w:r>
              <w:t xml:space="preserve">Таблица </w:t>
            </w:r>
            <w:r>
              <w:t xml:space="preserve">3</w:t>
            </w:r>
            <w:r/>
          </w:p>
          <w:p>
            <w:pPr>
              <w:jc w:val="center"/>
              <w:rPr>
                <w:sz w:val="22"/>
                <w:szCs w:val="22"/>
              </w:rPr>
            </w:pPr>
            <w:r>
              <w:t xml:space="preserve">Технических требований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t xml:space="preserve">к-т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5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sz w:val="22"/>
                <w:szCs w:val="22"/>
              </w:rPr>
            </w:pPr>
            <w: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</w:tbl>
    <w:p>
      <w:pPr>
        <w:jc w:val="both"/>
        <w:rPr>
          <w:i/>
          <w:iCs/>
          <w:shd w:val="clear" w:color="auto" w:fill="ffff99"/>
        </w:rPr>
      </w:pPr>
      <w:r>
        <w:rPr>
          <w:i/>
          <w:iCs/>
          <w:shd w:val="clear" w:color="auto" w:fill="ffff99"/>
        </w:rPr>
      </w:r>
      <w:r>
        <w:rPr>
          <w:i/>
          <w:iCs/>
          <w:shd w:val="clear" w:color="auto" w:fill="ffff99"/>
        </w:rPr>
      </w:r>
      <w:r>
        <w:rPr>
          <w:i/>
          <w:iCs/>
          <w:shd w:val="clear" w:color="auto" w:fill="ffff99"/>
        </w:rPr>
      </w:r>
    </w:p>
    <w:p>
      <w:pPr>
        <w:jc w:val="right"/>
        <w:spacing w:after="120"/>
        <w:rPr>
          <w:i/>
          <w:iCs/>
          <w:shd w:val="clear" w:color="auto" w:fill="ffff99"/>
        </w:rPr>
      </w:pPr>
      <w:r>
        <w:rPr>
          <w:i/>
          <w:iCs/>
          <w:shd w:val="clear" w:color="auto" w:fill="ffff99"/>
        </w:rPr>
      </w:r>
      <w:r>
        <w:rPr>
          <w:i/>
          <w:iCs/>
          <w:shd w:val="clear" w:color="auto" w:fill="ffff99"/>
        </w:rPr>
      </w:r>
      <w:r>
        <w:rPr>
          <w:i/>
          <w:iCs/>
          <w:shd w:val="clear" w:color="auto" w:fill="ffff99"/>
        </w:rPr>
      </w:r>
    </w:p>
    <w:p>
      <w:pPr>
        <w:ind w:firstLine="709"/>
        <w:jc w:val="both"/>
        <w:spacing w:before="120" w:after="120"/>
      </w:pPr>
      <w:r/>
      <w:r/>
    </w:p>
    <w:sectPr>
      <w:footnotePr/>
      <w:endnotePr/>
      <w:type w:val="nextPage"/>
      <w:pgSz w:w="16838" w:h="11906" w:orient="landscape"/>
      <w:pgMar w:top="1134" w:right="851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egoe UI">
    <w:panose1 w:val="020B0503020204020204"/>
  </w:font>
  <w:font w:name="Courier New">
    <w:panose1 w:val="020703090202050204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Batang">
    <w:panose1 w:val="02000603000000000000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38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04" w:hanging="360"/>
      </w:pPr>
      <w:rPr>
        <w:rFonts w:hint="default"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center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04" w:hanging="360"/>
      </w:pPr>
      <w:rPr>
        <w:rFonts w:hint="default" w:ascii="Times New Roman" w:hAnsi="Times New Roman" w:cs="Times New Roman"/>
        <w:b w:val="0"/>
        <w:i w:val="0"/>
        <w:sz w:val="24"/>
      </w:rPr>
    </w:lvl>
    <w:lvl w:ilvl="1">
      <w:start w:val="1"/>
      <w:numFmt w:val="decimal"/>
      <w:isLgl w:val="false"/>
      <w:suff w:val="tab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4"/>
      <w:numFmt w:val="decimal"/>
      <w:pStyle w:val="902"/>
      <w:isLgl w:val="false"/>
      <w:suff w:val="tab"/>
      <w:lvlText w:val="%1."/>
      <w:lvlJc w:val="left"/>
      <w:pPr>
        <w:ind w:left="786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0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0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decimal"/>
      <w:isLgl/>
      <w:suff w:val="tab"/>
      <w:lvlText w:val="%1.%2."/>
      <w:lvlJc w:val="left"/>
      <w:pPr>
        <w:ind w:left="-1766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-147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-1472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-1112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-1112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-752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-752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-392" w:hanging="180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5"/>
  </w:num>
  <w:num w:numId="2">
    <w:abstractNumId w:val="24"/>
  </w:num>
  <w:num w:numId="3">
    <w:abstractNumId w:val="23"/>
  </w:num>
  <w:num w:numId="4">
    <w:abstractNumId w:val="12"/>
  </w:num>
  <w:num w:numId="5">
    <w:abstractNumId w:val="21"/>
  </w:num>
  <w:num w:numId="6">
    <w:abstractNumId w:val="2"/>
  </w:num>
  <w:num w:numId="7">
    <w:abstractNumId w:val="0"/>
  </w:num>
  <w:num w:numId="8">
    <w:abstractNumId w:val="28"/>
  </w:num>
  <w:num w:numId="9">
    <w:abstractNumId w:val="16"/>
  </w:num>
  <w:num w:numId="10">
    <w:abstractNumId w:val="18"/>
  </w:num>
  <w:num w:numId="11">
    <w:abstractNumId w:val="6"/>
  </w:num>
  <w:num w:numId="12">
    <w:abstractNumId w:val="4"/>
  </w:num>
  <w:num w:numId="13">
    <w:abstractNumId w:val="9"/>
  </w:num>
  <w:num w:numId="14">
    <w:abstractNumId w:val="20"/>
  </w:num>
  <w:num w:numId="15">
    <w:abstractNumId w:val="17"/>
  </w:num>
  <w:num w:numId="16">
    <w:abstractNumId w:val="13"/>
  </w:num>
  <w:num w:numId="17">
    <w:abstractNumId w:val="14"/>
  </w:num>
  <w:num w:numId="18">
    <w:abstractNumId w:val="27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</w:num>
  <w:num w:numId="23">
    <w:abstractNumId w:val="2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"/>
  </w:num>
  <w:num w:numId="29">
    <w:abstractNumId w:val="5"/>
  </w:num>
  <w:num w:numId="30">
    <w:abstractNumId w:val="22"/>
  </w:num>
  <w:num w:numId="31">
    <w:abstractNumId w:val="7"/>
  </w:num>
  <w:num w:numId="32">
    <w:abstractNumId w:val="17"/>
  </w:num>
  <w:num w:numId="33">
    <w:abstractNumId w:val="8"/>
  </w:num>
  <w:num w:numId="34">
    <w:abstractNumId w:val="30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2">
    <w:name w:val="Heading 1 Char"/>
    <w:basedOn w:val="905"/>
    <w:link w:val="902"/>
    <w:uiPriority w:val="9"/>
    <w:rPr>
      <w:rFonts w:ascii="Arial" w:hAnsi="Arial" w:eastAsia="Arial" w:cs="Arial"/>
      <w:sz w:val="40"/>
      <w:szCs w:val="40"/>
    </w:rPr>
  </w:style>
  <w:style w:type="paragraph" w:styleId="733">
    <w:name w:val="Heading 2"/>
    <w:basedOn w:val="901"/>
    <w:next w:val="901"/>
    <w:link w:val="73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4">
    <w:name w:val="Heading 2 Char"/>
    <w:basedOn w:val="905"/>
    <w:link w:val="733"/>
    <w:uiPriority w:val="9"/>
    <w:rPr>
      <w:rFonts w:ascii="Arial" w:hAnsi="Arial" w:eastAsia="Arial" w:cs="Arial"/>
      <w:sz w:val="34"/>
    </w:rPr>
  </w:style>
  <w:style w:type="character" w:styleId="735">
    <w:name w:val="Heading 3 Char"/>
    <w:basedOn w:val="905"/>
    <w:link w:val="903"/>
    <w:uiPriority w:val="9"/>
    <w:rPr>
      <w:rFonts w:ascii="Arial" w:hAnsi="Arial" w:eastAsia="Arial" w:cs="Arial"/>
      <w:sz w:val="30"/>
      <w:szCs w:val="30"/>
    </w:rPr>
  </w:style>
  <w:style w:type="character" w:styleId="736">
    <w:name w:val="Heading 4 Char"/>
    <w:basedOn w:val="905"/>
    <w:link w:val="904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1"/>
    <w:next w:val="901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basedOn w:val="905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1"/>
    <w:next w:val="901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basedOn w:val="905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1"/>
    <w:next w:val="901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basedOn w:val="905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1"/>
    <w:next w:val="901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basedOn w:val="905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1"/>
    <w:next w:val="901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basedOn w:val="905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No Spacing"/>
    <w:uiPriority w:val="1"/>
    <w:qFormat/>
    <w:pPr>
      <w:spacing w:before="0" w:after="0" w:line="240" w:lineRule="auto"/>
    </w:pPr>
  </w:style>
  <w:style w:type="character" w:styleId="748">
    <w:name w:val="Title Char"/>
    <w:basedOn w:val="905"/>
    <w:link w:val="908"/>
    <w:uiPriority w:val="10"/>
    <w:rPr>
      <w:sz w:val="48"/>
      <w:szCs w:val="48"/>
    </w:rPr>
  </w:style>
  <w:style w:type="paragraph" w:styleId="749">
    <w:name w:val="Subtitle"/>
    <w:basedOn w:val="901"/>
    <w:next w:val="901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>
    <w:name w:val="Subtitle Char"/>
    <w:basedOn w:val="905"/>
    <w:link w:val="749"/>
    <w:uiPriority w:val="11"/>
    <w:rPr>
      <w:sz w:val="24"/>
      <w:szCs w:val="24"/>
    </w:rPr>
  </w:style>
  <w:style w:type="paragraph" w:styleId="751">
    <w:name w:val="Quote"/>
    <w:basedOn w:val="901"/>
    <w:next w:val="901"/>
    <w:link w:val="752"/>
    <w:uiPriority w:val="29"/>
    <w:qFormat/>
    <w:pPr>
      <w:ind w:left="720" w:right="720"/>
    </w:pPr>
    <w:rPr>
      <w:i/>
    </w:rPr>
  </w:style>
  <w:style w:type="character" w:styleId="752">
    <w:name w:val="Quote Char"/>
    <w:link w:val="751"/>
    <w:uiPriority w:val="29"/>
    <w:rPr>
      <w:i/>
    </w:rPr>
  </w:style>
  <w:style w:type="paragraph" w:styleId="753">
    <w:name w:val="Intense Quote"/>
    <w:basedOn w:val="901"/>
    <w:next w:val="901"/>
    <w:link w:val="7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>
    <w:name w:val="Intense Quote Char"/>
    <w:link w:val="753"/>
    <w:uiPriority w:val="30"/>
    <w:rPr>
      <w:i/>
    </w:rPr>
  </w:style>
  <w:style w:type="paragraph" w:styleId="755">
    <w:name w:val="Header"/>
    <w:basedOn w:val="901"/>
    <w:link w:val="75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6">
    <w:name w:val="Header Char"/>
    <w:basedOn w:val="905"/>
    <w:link w:val="755"/>
    <w:uiPriority w:val="99"/>
  </w:style>
  <w:style w:type="paragraph" w:styleId="757">
    <w:name w:val="Footer"/>
    <w:basedOn w:val="901"/>
    <w:link w:val="7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Footer Char"/>
    <w:basedOn w:val="905"/>
    <w:link w:val="757"/>
    <w:uiPriority w:val="99"/>
  </w:style>
  <w:style w:type="paragraph" w:styleId="759">
    <w:name w:val="Caption"/>
    <w:basedOn w:val="901"/>
    <w:next w:val="90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>
    <w:name w:val="Caption Char"/>
    <w:basedOn w:val="759"/>
    <w:link w:val="757"/>
    <w:uiPriority w:val="99"/>
  </w:style>
  <w:style w:type="table" w:styleId="761">
    <w:name w:val="Table Grid Light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Plain Table 1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2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>
    <w:name w:val="Plain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Plain Table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>
    <w:name w:val="Grid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4 - Accent 1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0">
    <w:name w:val="Grid Table 4 - Accent 2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Grid Table 4 - Accent 3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2">
    <w:name w:val="Grid Table 4 - Accent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Grid Table 4 - Accent 5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4">
    <w:name w:val="Grid Table 4 - Accent 6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5">
    <w:name w:val="Grid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6">
    <w:name w:val="Grid Table 5 Dark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2">
    <w:name w:val="Grid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3">
    <w:name w:val="Grid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4">
    <w:name w:val="Grid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5">
    <w:name w:val="Grid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6">
    <w:name w:val="Grid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7">
    <w:name w:val="Grid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4">
    <w:name w:val="List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5">
    <w:name w:val="List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6">
    <w:name w:val="List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7">
    <w:name w:val="List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8">
    <w:name w:val="List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9">
    <w:name w:val="List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0">
    <w:name w:val="List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2">
    <w:name w:val="List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3">
    <w:name w:val="List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List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5">
    <w:name w:val="List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List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7">
    <w:name w:val="List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8">
    <w:name w:val="List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9">
    <w:name w:val="List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0">
    <w:name w:val="List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1">
    <w:name w:val="List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2">
    <w:name w:val="List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3">
    <w:name w:val="List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4">
    <w:name w:val="List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5">
    <w:name w:val="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7">
    <w:name w:val="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8">
    <w:name w:val="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9">
    <w:name w:val="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0">
    <w:name w:val="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1">
    <w:name w:val="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2">
    <w:name w:val="Bordered &amp; 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Bordered &amp; 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4">
    <w:name w:val="Bordered &amp; 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5">
    <w:name w:val="Bordered &amp; 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6">
    <w:name w:val="Bordered &amp; 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7">
    <w:name w:val="Bordered &amp; 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8">
    <w:name w:val="Bordered &amp; 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9">
    <w:name w:val="Bordered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0">
    <w:name w:val="Bordered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1">
    <w:name w:val="Bordered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2">
    <w:name w:val="Bordered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3">
    <w:name w:val="Bordered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4">
    <w:name w:val="Bordered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5">
    <w:name w:val="Bordered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6">
    <w:name w:val="Footnote Text Char"/>
    <w:link w:val="938"/>
    <w:uiPriority w:val="99"/>
    <w:rPr>
      <w:sz w:val="18"/>
    </w:rPr>
  </w:style>
  <w:style w:type="paragraph" w:styleId="887">
    <w:name w:val="endnote text"/>
    <w:basedOn w:val="901"/>
    <w:link w:val="888"/>
    <w:uiPriority w:val="99"/>
    <w:semiHidden/>
    <w:unhideWhenUsed/>
    <w:pPr>
      <w:spacing w:after="0" w:line="240" w:lineRule="auto"/>
    </w:pPr>
    <w:rPr>
      <w:sz w:val="20"/>
    </w:rPr>
  </w:style>
  <w:style w:type="character" w:styleId="888">
    <w:name w:val="Endnote Text Char"/>
    <w:link w:val="887"/>
    <w:uiPriority w:val="99"/>
    <w:rPr>
      <w:sz w:val="20"/>
    </w:rPr>
  </w:style>
  <w:style w:type="character" w:styleId="889">
    <w:name w:val="endnote reference"/>
    <w:basedOn w:val="905"/>
    <w:uiPriority w:val="99"/>
    <w:semiHidden/>
    <w:unhideWhenUsed/>
    <w:rPr>
      <w:vertAlign w:val="superscript"/>
    </w:rPr>
  </w:style>
  <w:style w:type="paragraph" w:styleId="890">
    <w:name w:val="toc 1"/>
    <w:basedOn w:val="901"/>
    <w:next w:val="901"/>
    <w:uiPriority w:val="39"/>
    <w:unhideWhenUsed/>
    <w:pPr>
      <w:ind w:left="0" w:right="0" w:firstLine="0"/>
      <w:spacing w:after="57"/>
    </w:pPr>
  </w:style>
  <w:style w:type="paragraph" w:styleId="891">
    <w:name w:val="toc 2"/>
    <w:basedOn w:val="901"/>
    <w:next w:val="901"/>
    <w:uiPriority w:val="39"/>
    <w:unhideWhenUsed/>
    <w:pPr>
      <w:ind w:left="283" w:right="0" w:firstLine="0"/>
      <w:spacing w:after="57"/>
    </w:pPr>
  </w:style>
  <w:style w:type="paragraph" w:styleId="892">
    <w:name w:val="toc 3"/>
    <w:basedOn w:val="901"/>
    <w:next w:val="901"/>
    <w:uiPriority w:val="39"/>
    <w:unhideWhenUsed/>
    <w:pPr>
      <w:ind w:left="567" w:right="0" w:firstLine="0"/>
      <w:spacing w:after="57"/>
    </w:pPr>
  </w:style>
  <w:style w:type="paragraph" w:styleId="893">
    <w:name w:val="toc 4"/>
    <w:basedOn w:val="901"/>
    <w:next w:val="901"/>
    <w:uiPriority w:val="39"/>
    <w:unhideWhenUsed/>
    <w:pPr>
      <w:ind w:left="850" w:right="0" w:firstLine="0"/>
      <w:spacing w:after="57"/>
    </w:pPr>
  </w:style>
  <w:style w:type="paragraph" w:styleId="894">
    <w:name w:val="toc 5"/>
    <w:basedOn w:val="901"/>
    <w:next w:val="901"/>
    <w:uiPriority w:val="39"/>
    <w:unhideWhenUsed/>
    <w:pPr>
      <w:ind w:left="1134" w:right="0" w:firstLine="0"/>
      <w:spacing w:after="57"/>
    </w:pPr>
  </w:style>
  <w:style w:type="paragraph" w:styleId="895">
    <w:name w:val="toc 6"/>
    <w:basedOn w:val="901"/>
    <w:next w:val="901"/>
    <w:uiPriority w:val="39"/>
    <w:unhideWhenUsed/>
    <w:pPr>
      <w:ind w:left="1417" w:right="0" w:firstLine="0"/>
      <w:spacing w:after="57"/>
    </w:pPr>
  </w:style>
  <w:style w:type="paragraph" w:styleId="896">
    <w:name w:val="toc 7"/>
    <w:basedOn w:val="901"/>
    <w:next w:val="901"/>
    <w:uiPriority w:val="39"/>
    <w:unhideWhenUsed/>
    <w:pPr>
      <w:ind w:left="1701" w:right="0" w:firstLine="0"/>
      <w:spacing w:after="57"/>
    </w:pPr>
  </w:style>
  <w:style w:type="paragraph" w:styleId="897">
    <w:name w:val="toc 8"/>
    <w:basedOn w:val="901"/>
    <w:next w:val="901"/>
    <w:uiPriority w:val="39"/>
    <w:unhideWhenUsed/>
    <w:pPr>
      <w:ind w:left="1984" w:right="0" w:firstLine="0"/>
      <w:spacing w:after="57"/>
    </w:pPr>
  </w:style>
  <w:style w:type="paragraph" w:styleId="898">
    <w:name w:val="toc 9"/>
    <w:basedOn w:val="901"/>
    <w:next w:val="901"/>
    <w:uiPriority w:val="39"/>
    <w:unhideWhenUsed/>
    <w:pPr>
      <w:ind w:left="2268" w:right="0" w:firstLine="0"/>
      <w:spacing w:after="57"/>
    </w:pPr>
  </w:style>
  <w:style w:type="paragraph" w:styleId="899">
    <w:name w:val="TOC Heading"/>
    <w:uiPriority w:val="39"/>
    <w:unhideWhenUsed/>
  </w:style>
  <w:style w:type="paragraph" w:styleId="900">
    <w:name w:val="table of figures"/>
    <w:basedOn w:val="901"/>
    <w:next w:val="901"/>
    <w:uiPriority w:val="99"/>
    <w:unhideWhenUsed/>
    <w:pPr>
      <w:spacing w:after="0" w:afterAutospacing="0"/>
    </w:pPr>
  </w:style>
  <w:style w:type="paragraph" w:styleId="901" w:default="1">
    <w:name w:val="Normal"/>
    <w:qFormat/>
    <w:rPr>
      <w:rFonts w:ascii="Times New Roman" w:hAnsi="Times New Roman" w:eastAsia="Batang"/>
      <w:sz w:val="24"/>
      <w:szCs w:val="24"/>
      <w:lang w:eastAsia="ko-KR"/>
    </w:rPr>
  </w:style>
  <w:style w:type="paragraph" w:styleId="902">
    <w:name w:val="Heading 1"/>
    <w:basedOn w:val="903"/>
    <w:next w:val="901"/>
    <w:link w:val="933"/>
    <w:qFormat/>
    <w:pPr>
      <w:numPr>
        <w:ilvl w:val="0"/>
      </w:numPr>
      <w:outlineLvl w:val="0"/>
    </w:pPr>
    <w:rPr>
      <w:sz w:val="28"/>
      <w:szCs w:val="28"/>
    </w:rPr>
  </w:style>
  <w:style w:type="paragraph" w:styleId="903">
    <w:name w:val="Heading 3"/>
    <w:basedOn w:val="901"/>
    <w:next w:val="901"/>
    <w:link w:val="934"/>
    <w:qFormat/>
    <w:pPr>
      <w:numPr>
        <w:ilvl w:val="2"/>
        <w:numId w:val="15"/>
      </w:numPr>
      <w:keepNext/>
      <w:spacing w:before="120" w:after="60"/>
      <w:outlineLvl w:val="2"/>
    </w:pPr>
    <w:rPr>
      <w:rFonts w:eastAsia="Calibri"/>
      <w:b/>
    </w:rPr>
  </w:style>
  <w:style w:type="paragraph" w:styleId="904">
    <w:name w:val="Heading 4"/>
    <w:basedOn w:val="903"/>
    <w:next w:val="901"/>
    <w:link w:val="935"/>
    <w:qFormat/>
    <w:pPr>
      <w:numPr>
        <w:ilvl w:val="1"/>
      </w:numPr>
      <w:outlineLvl w:val="3"/>
    </w:pPr>
    <w:rPr>
      <w:bCs/>
    </w:rPr>
  </w:style>
  <w:style w:type="character" w:styleId="905" w:default="1">
    <w:name w:val="Default Paragraph Font"/>
    <w:uiPriority w:val="1"/>
    <w:unhideWhenUsed/>
  </w:style>
  <w:style w:type="table" w:styleId="9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7" w:default="1">
    <w:name w:val="No List"/>
    <w:uiPriority w:val="99"/>
    <w:semiHidden/>
    <w:unhideWhenUsed/>
  </w:style>
  <w:style w:type="paragraph" w:styleId="908">
    <w:name w:val="Title"/>
    <w:basedOn w:val="901"/>
    <w:link w:val="909"/>
    <w:uiPriority w:val="99"/>
    <w:qFormat/>
    <w:pPr>
      <w:jc w:val="center"/>
    </w:pPr>
  </w:style>
  <w:style w:type="character" w:styleId="909" w:customStyle="1">
    <w:name w:val="Заголовок Знак"/>
    <w:basedOn w:val="905"/>
    <w:link w:val="908"/>
    <w:uiPriority w:val="99"/>
    <w:rPr>
      <w:rFonts w:ascii="Times New Roman" w:hAnsi="Times New Roman" w:eastAsia="Batang" w:cs="Times New Roman"/>
      <w:sz w:val="24"/>
      <w:szCs w:val="24"/>
      <w:lang w:eastAsia="ko-KR"/>
    </w:rPr>
  </w:style>
  <w:style w:type="table" w:styleId="910">
    <w:name w:val="Table Grid"/>
    <w:basedOn w:val="906"/>
    <w:uiPriority w:val="3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1">
    <w:name w:val="Body Text 3"/>
    <w:basedOn w:val="901"/>
    <w:link w:val="912"/>
    <w:uiPriority w:val="99"/>
    <w:rPr>
      <w:rFonts w:ascii="Arial" w:hAnsi="Arial"/>
      <w:sz w:val="22"/>
      <w:szCs w:val="16"/>
    </w:rPr>
  </w:style>
  <w:style w:type="character" w:styleId="912" w:customStyle="1">
    <w:name w:val="Основной текст 3 Знак"/>
    <w:basedOn w:val="905"/>
    <w:link w:val="911"/>
    <w:uiPriority w:val="99"/>
    <w:rPr>
      <w:rFonts w:ascii="Arial" w:hAnsi="Arial" w:eastAsia="Batang" w:cs="Times New Roman"/>
      <w:sz w:val="16"/>
      <w:szCs w:val="16"/>
      <w:lang w:eastAsia="ko-KR"/>
    </w:rPr>
  </w:style>
  <w:style w:type="character" w:styleId="913" w:customStyle="1">
    <w:name w:val="Основной текст_"/>
    <w:basedOn w:val="905"/>
    <w:link w:val="915"/>
    <w:uiPriority w:val="9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styleId="914" w:customStyle="1">
    <w:name w:val="Основной текст1"/>
    <w:basedOn w:val="913"/>
    <w:uiPriority w:val="99"/>
    <w:rPr>
      <w:rFonts w:ascii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styleId="915" w:customStyle="1">
    <w:name w:val="Основной текст2"/>
    <w:basedOn w:val="901"/>
    <w:link w:val="913"/>
    <w:uiPriority w:val="99"/>
    <w:pPr>
      <w:spacing w:line="277" w:lineRule="exact"/>
      <w:shd w:val="clear" w:color="auto" w:fill="ffffff"/>
      <w:widowControl w:val="off"/>
    </w:pPr>
    <w:rPr>
      <w:rFonts w:eastAsia="Times New Roman"/>
      <w:sz w:val="23"/>
      <w:szCs w:val="23"/>
      <w:lang w:eastAsia="en-US"/>
    </w:rPr>
  </w:style>
  <w:style w:type="character" w:styleId="916" w:customStyle="1">
    <w:name w:val="Основной текст (4) Exact"/>
    <w:basedOn w:val="905"/>
    <w:link w:val="917"/>
    <w:uiPriority w:val="99"/>
    <w:rPr>
      <w:rFonts w:ascii="Arial Narrow" w:hAnsi="Arial Narrow" w:eastAsia="Times New Roman" w:cs="Arial Narrow"/>
      <w:spacing w:val="2"/>
      <w:sz w:val="15"/>
      <w:szCs w:val="15"/>
      <w:shd w:val="clear" w:color="auto" w:fill="ffffff"/>
    </w:rPr>
  </w:style>
  <w:style w:type="paragraph" w:styleId="917" w:customStyle="1">
    <w:name w:val="Основной текст (4)"/>
    <w:basedOn w:val="901"/>
    <w:link w:val="916"/>
    <w:uiPriority w:val="99"/>
    <w:pPr>
      <w:spacing w:line="240" w:lineRule="atLeast"/>
      <w:shd w:val="clear" w:color="auto" w:fill="ffffff"/>
      <w:widowControl w:val="off"/>
    </w:pPr>
    <w:rPr>
      <w:rFonts w:ascii="Arial Narrow" w:hAnsi="Arial Narrow" w:eastAsia="Calibri" w:cs="Arial Narrow"/>
      <w:spacing w:val="2"/>
      <w:sz w:val="15"/>
      <w:szCs w:val="15"/>
      <w:lang w:eastAsia="en-US"/>
    </w:rPr>
  </w:style>
  <w:style w:type="character" w:styleId="918" w:customStyle="1">
    <w:name w:val="Основной текст + 12 pt"/>
    <w:basedOn w:val="913"/>
    <w:uiPriority w:val="99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u w:val="none"/>
      <w:shd w:val="clear" w:color="auto" w:fill="ffffff"/>
      <w:lang w:val="ru-RU"/>
    </w:rPr>
  </w:style>
  <w:style w:type="character" w:styleId="919" w:customStyle="1">
    <w:name w:val="Основной текст + Courier New"/>
    <w:basedOn w:val="913"/>
    <w:uiPriority w:val="99"/>
    <w:rPr>
      <w:rFonts w:ascii="Courier New" w:hAnsi="Courier New" w:eastAsia="Times New Roman" w:cs="Courier New"/>
      <w:b/>
      <w:bCs/>
      <w:color w:val="000000"/>
      <w:spacing w:val="0"/>
      <w:position w:val="0"/>
      <w:sz w:val="22"/>
      <w:szCs w:val="22"/>
      <w:u w:val="none"/>
      <w:shd w:val="clear" w:color="auto" w:fill="ffffff"/>
      <w:lang w:val="ru-RU"/>
    </w:rPr>
  </w:style>
  <w:style w:type="paragraph" w:styleId="920">
    <w:name w:val="List Paragraph"/>
    <w:basedOn w:val="901"/>
    <w:link w:val="925"/>
    <w:uiPriority w:val="34"/>
    <w:qFormat/>
    <w:pPr>
      <w:contextualSpacing/>
      <w:ind w:left="720"/>
    </w:pPr>
  </w:style>
  <w:style w:type="character" w:styleId="921" w:customStyle="1">
    <w:name w:val="Подпись к таблице_"/>
    <w:link w:val="922"/>
    <w:rPr>
      <w:b/>
      <w:bCs/>
      <w:shd w:val="clear" w:color="auto" w:fill="ffffff"/>
    </w:rPr>
  </w:style>
  <w:style w:type="paragraph" w:styleId="922" w:customStyle="1">
    <w:name w:val="Подпись к таблице"/>
    <w:basedOn w:val="901"/>
    <w:link w:val="921"/>
    <w:pPr>
      <w:spacing w:line="266" w:lineRule="exact"/>
      <w:shd w:val="clear" w:color="auto" w:fill="ffffff"/>
      <w:widowControl w:val="off"/>
    </w:pPr>
    <w:rPr>
      <w:rFonts w:ascii="Calibri" w:hAnsi="Calibri" w:eastAsia="Calibri"/>
      <w:b/>
      <w:bCs/>
      <w:sz w:val="22"/>
      <w:szCs w:val="22"/>
      <w:lang w:eastAsia="ru-RU"/>
    </w:rPr>
  </w:style>
  <w:style w:type="paragraph" w:styleId="923" w:customStyle="1">
    <w:name w:val="_Простой 12"/>
    <w:basedOn w:val="901"/>
    <w:link w:val="924"/>
    <w:qFormat/>
    <w:pPr>
      <w:ind w:left="284" w:right="284"/>
      <w:jc w:val="both"/>
      <w:spacing w:line="360" w:lineRule="auto"/>
      <w:widowControl w:val="off"/>
    </w:pPr>
    <w:rPr>
      <w:rFonts w:eastAsia="Times New Roman"/>
      <w:lang w:eastAsia="ru-RU"/>
    </w:rPr>
  </w:style>
  <w:style w:type="character" w:styleId="924" w:customStyle="1">
    <w:name w:val="_Простой 12 Знак"/>
    <w:link w:val="923"/>
    <w:rPr>
      <w:rFonts w:ascii="Times New Roman" w:hAnsi="Times New Roman" w:eastAsia="Times New Roman"/>
      <w:sz w:val="24"/>
      <w:szCs w:val="24"/>
    </w:rPr>
  </w:style>
  <w:style w:type="character" w:styleId="925" w:customStyle="1">
    <w:name w:val="Абзац списка Знак"/>
    <w:link w:val="920"/>
    <w:uiPriority w:val="34"/>
    <w:qFormat/>
    <w:rPr>
      <w:rFonts w:ascii="Times New Roman" w:hAnsi="Times New Roman" w:eastAsia="Batang"/>
      <w:sz w:val="24"/>
      <w:szCs w:val="24"/>
      <w:lang w:eastAsia="ko-KR"/>
    </w:rPr>
  </w:style>
  <w:style w:type="paragraph" w:styleId="926">
    <w:name w:val="Balloon Text"/>
    <w:basedOn w:val="901"/>
    <w:link w:val="92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27" w:customStyle="1">
    <w:name w:val="Текст выноски Знак"/>
    <w:basedOn w:val="905"/>
    <w:link w:val="926"/>
    <w:uiPriority w:val="99"/>
    <w:semiHidden/>
    <w:rPr>
      <w:rFonts w:ascii="Segoe UI" w:hAnsi="Segoe UI" w:eastAsia="Batang" w:cs="Segoe UI"/>
      <w:sz w:val="18"/>
      <w:szCs w:val="18"/>
      <w:lang w:eastAsia="ko-KR"/>
    </w:rPr>
  </w:style>
  <w:style w:type="character" w:styleId="928">
    <w:name w:val="annotation reference"/>
    <w:basedOn w:val="905"/>
    <w:uiPriority w:val="99"/>
    <w:semiHidden/>
    <w:unhideWhenUsed/>
    <w:rPr>
      <w:sz w:val="16"/>
      <w:szCs w:val="16"/>
    </w:rPr>
  </w:style>
  <w:style w:type="paragraph" w:styleId="929">
    <w:name w:val="annotation text"/>
    <w:basedOn w:val="901"/>
    <w:link w:val="930"/>
    <w:uiPriority w:val="99"/>
    <w:semiHidden/>
    <w:unhideWhenUsed/>
    <w:rPr>
      <w:sz w:val="20"/>
      <w:szCs w:val="20"/>
    </w:rPr>
  </w:style>
  <w:style w:type="character" w:styleId="930" w:customStyle="1">
    <w:name w:val="Текст примечания Знак"/>
    <w:basedOn w:val="905"/>
    <w:link w:val="929"/>
    <w:uiPriority w:val="99"/>
    <w:semiHidden/>
    <w:rPr>
      <w:rFonts w:ascii="Times New Roman" w:hAnsi="Times New Roman" w:eastAsia="Batang"/>
      <w:sz w:val="20"/>
      <w:szCs w:val="20"/>
      <w:lang w:eastAsia="ko-KR"/>
    </w:rPr>
  </w:style>
  <w:style w:type="paragraph" w:styleId="931">
    <w:name w:val="annotation subject"/>
    <w:basedOn w:val="929"/>
    <w:next w:val="929"/>
    <w:link w:val="932"/>
    <w:uiPriority w:val="99"/>
    <w:semiHidden/>
    <w:unhideWhenUsed/>
    <w:rPr>
      <w:b/>
      <w:bCs/>
    </w:rPr>
  </w:style>
  <w:style w:type="character" w:styleId="932" w:customStyle="1">
    <w:name w:val="Тема примечания Знак"/>
    <w:basedOn w:val="930"/>
    <w:link w:val="931"/>
    <w:uiPriority w:val="99"/>
    <w:semiHidden/>
    <w:rPr>
      <w:rFonts w:ascii="Times New Roman" w:hAnsi="Times New Roman" w:eastAsia="Batang"/>
      <w:b/>
      <w:bCs/>
      <w:sz w:val="20"/>
      <w:szCs w:val="20"/>
      <w:lang w:eastAsia="ko-KR"/>
    </w:rPr>
  </w:style>
  <w:style w:type="character" w:styleId="933" w:customStyle="1">
    <w:name w:val="Заголовок 1 Знак"/>
    <w:basedOn w:val="905"/>
    <w:link w:val="902"/>
    <w:rPr>
      <w:rFonts w:ascii="Times New Roman" w:hAnsi="Times New Roman"/>
      <w:b/>
      <w:sz w:val="28"/>
      <w:szCs w:val="28"/>
    </w:rPr>
  </w:style>
  <w:style w:type="character" w:styleId="934" w:customStyle="1">
    <w:name w:val="Заголовок 3 Знак"/>
    <w:basedOn w:val="905"/>
    <w:link w:val="903"/>
    <w:rPr>
      <w:rFonts w:ascii="Times New Roman" w:hAnsi="Times New Roman"/>
      <w:b/>
      <w:sz w:val="24"/>
      <w:szCs w:val="24"/>
    </w:rPr>
  </w:style>
  <w:style w:type="character" w:styleId="935" w:customStyle="1">
    <w:name w:val="Заголовок 4 Знак"/>
    <w:basedOn w:val="905"/>
    <w:link w:val="904"/>
    <w:rPr>
      <w:rFonts w:ascii="Times New Roman" w:hAnsi="Times New Roman"/>
      <w:b/>
      <w:bCs/>
      <w:sz w:val="24"/>
      <w:szCs w:val="24"/>
    </w:rPr>
  </w:style>
  <w:style w:type="paragraph" w:styleId="936" w:customStyle="1">
    <w:name w:val="Таблица шапка"/>
    <w:basedOn w:val="901"/>
    <w:pPr>
      <w:ind w:left="57" w:right="57"/>
      <w:keepNext/>
      <w:spacing w:before="40" w:after="40"/>
    </w:pPr>
    <w:rPr>
      <w:rFonts w:eastAsia="Times New Roman"/>
      <w:sz w:val="22"/>
      <w:szCs w:val="26"/>
      <w:lang w:eastAsia="ru-RU"/>
    </w:rPr>
  </w:style>
  <w:style w:type="character" w:styleId="937" w:customStyle="1">
    <w:name w:val="комментарий"/>
    <w:rPr>
      <w:b/>
      <w:i/>
      <w:shd w:val="clear" w:color="auto" w:fill="ffff99"/>
    </w:rPr>
  </w:style>
  <w:style w:type="paragraph" w:styleId="938">
    <w:name w:val="footnote text"/>
    <w:basedOn w:val="901"/>
    <w:link w:val="939"/>
    <w:uiPriority w:val="99"/>
    <w:rPr>
      <w:rFonts w:eastAsia="Times New Roman"/>
      <w:sz w:val="20"/>
      <w:szCs w:val="20"/>
      <w:lang w:eastAsia="ru-RU"/>
    </w:rPr>
  </w:style>
  <w:style w:type="character" w:styleId="939" w:customStyle="1">
    <w:name w:val="Текст сноски Знак"/>
    <w:basedOn w:val="905"/>
    <w:link w:val="938"/>
    <w:uiPriority w:val="99"/>
    <w:rPr>
      <w:rFonts w:ascii="Times New Roman" w:hAnsi="Times New Roman" w:eastAsia="Times New Roman"/>
      <w:sz w:val="20"/>
      <w:szCs w:val="20"/>
    </w:rPr>
  </w:style>
  <w:style w:type="character" w:styleId="940">
    <w:name w:val="footnote reference"/>
    <w:uiPriority w:val="99"/>
    <w:rPr>
      <w:vertAlign w:val="superscript"/>
    </w:rPr>
  </w:style>
  <w:style w:type="paragraph" w:styleId="941">
    <w:name w:val="Body Text Indent 2"/>
    <w:basedOn w:val="901"/>
    <w:link w:val="942"/>
    <w:pPr>
      <w:ind w:left="283"/>
      <w:spacing w:after="120" w:line="480" w:lineRule="auto"/>
    </w:pPr>
    <w:rPr>
      <w:rFonts w:eastAsia="Times New Roman"/>
      <w:sz w:val="28"/>
      <w:szCs w:val="28"/>
      <w:lang w:eastAsia="ru-RU"/>
    </w:rPr>
  </w:style>
  <w:style w:type="character" w:styleId="942" w:customStyle="1">
    <w:name w:val="Основной текст с отступом 2 Знак"/>
    <w:basedOn w:val="905"/>
    <w:link w:val="941"/>
    <w:rPr>
      <w:rFonts w:ascii="Times New Roman" w:hAnsi="Times New Roman" w:eastAsia="Times New Roman"/>
      <w:sz w:val="28"/>
      <w:szCs w:val="28"/>
    </w:rPr>
  </w:style>
  <w:style w:type="paragraph" w:styleId="943" w:customStyle="1">
    <w:name w:val="ConsPlusNormal"/>
    <w:link w:val="944"/>
    <w:pPr>
      <w:ind w:firstLine="720"/>
      <w:widowControl w:val="off"/>
    </w:pPr>
    <w:rPr>
      <w:rFonts w:ascii="Arial" w:hAnsi="Arial" w:eastAsia="Times New Roman" w:cs="Arial"/>
      <w:sz w:val="20"/>
      <w:szCs w:val="20"/>
    </w:rPr>
  </w:style>
  <w:style w:type="character" w:styleId="944" w:customStyle="1">
    <w:name w:val="ConsPlusNormal Знак"/>
    <w:link w:val="943"/>
    <w:rPr>
      <w:rFonts w:ascii="Arial" w:hAnsi="Arial" w:eastAsia="Times New Roman" w:cs="Arial"/>
      <w:sz w:val="20"/>
      <w:szCs w:val="20"/>
    </w:rPr>
  </w:style>
  <w:style w:type="character" w:styleId="945">
    <w:name w:val="Hyperlink"/>
    <w:basedOn w:val="905"/>
    <w:uiPriority w:val="99"/>
    <w:semiHidden/>
    <w:unhideWhenUsed/>
    <w:rPr>
      <w:color w:val="0563c1"/>
      <w:u w:val="single"/>
    </w:rPr>
  </w:style>
  <w:style w:type="character" w:styleId="946">
    <w:name w:val="FollowedHyperlink"/>
    <w:basedOn w:val="905"/>
    <w:uiPriority w:val="99"/>
    <w:semiHidden/>
    <w:unhideWhenUsed/>
    <w:rPr>
      <w:color w:val="954f72"/>
      <w:u w:val="single"/>
    </w:rPr>
  </w:style>
  <w:style w:type="paragraph" w:styleId="947" w:customStyle="1">
    <w:name w:val="msonormal"/>
    <w:basedOn w:val="90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948" w:customStyle="1">
    <w:name w:val="xl89"/>
    <w:basedOn w:val="901"/>
    <w:pPr>
      <w:jc w:val="center"/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styleId="949" w:customStyle="1">
    <w:name w:val="xl90"/>
    <w:basedOn w:val="901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styleId="950" w:customStyle="1">
    <w:name w:val="xl91"/>
    <w:basedOn w:val="901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styleId="951" w:customStyle="1">
    <w:name w:val="xl92"/>
    <w:basedOn w:val="90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52" w:customStyle="1">
    <w:name w:val="xl93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sz w:val="20"/>
      <w:szCs w:val="20"/>
      <w:lang w:eastAsia="ru-RU"/>
    </w:rPr>
  </w:style>
  <w:style w:type="paragraph" w:styleId="953" w:customStyle="1">
    <w:name w:val="xl94"/>
    <w:basedOn w:val="90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sz w:val="20"/>
      <w:szCs w:val="20"/>
      <w:lang w:eastAsia="ru-RU"/>
    </w:rPr>
  </w:style>
  <w:style w:type="paragraph" w:styleId="954" w:customStyle="1">
    <w:name w:val="xl95"/>
    <w:basedOn w:val="901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55" w:customStyle="1">
    <w:name w:val="xl96"/>
    <w:basedOn w:val="90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56" w:customStyle="1">
    <w:name w:val="xl97"/>
    <w:basedOn w:val="90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57" w:customStyle="1">
    <w:name w:val="xl98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58" w:customStyle="1">
    <w:name w:val="xl99"/>
    <w:basedOn w:val="90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59" w:customStyle="1">
    <w:name w:val="xl100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color w:val="000000"/>
      <w:sz w:val="20"/>
      <w:szCs w:val="20"/>
      <w:lang w:eastAsia="ru-RU"/>
    </w:rPr>
  </w:style>
  <w:style w:type="paragraph" w:styleId="960" w:customStyle="1">
    <w:name w:val="xl101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61" w:customStyle="1">
    <w:name w:val="xl102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62" w:customStyle="1">
    <w:name w:val="xl103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63" w:customStyle="1">
    <w:name w:val="xl104"/>
    <w:basedOn w:val="90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64" w:customStyle="1">
    <w:name w:val="xl105"/>
    <w:basedOn w:val="90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65" w:customStyle="1">
    <w:name w:val="xl106"/>
    <w:basedOn w:val="90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66" w:customStyle="1">
    <w:name w:val="xl107"/>
    <w:basedOn w:val="90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67" w:customStyle="1">
    <w:name w:val="xl108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68" w:customStyle="1">
    <w:name w:val="xl109"/>
    <w:basedOn w:val="901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69" w:customStyle="1">
    <w:name w:val="xl110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70" w:customStyle="1">
    <w:name w:val="xl111"/>
    <w:basedOn w:val="901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71" w:customStyle="1">
    <w:name w:val="xl112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72" w:customStyle="1">
    <w:name w:val="xl113"/>
    <w:basedOn w:val="901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973" w:customStyle="1">
    <w:name w:val="xl114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74" w:customStyle="1">
    <w:name w:val="xl115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75" w:customStyle="1">
    <w:name w:val="xl116"/>
    <w:basedOn w:val="901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76" w:customStyle="1">
    <w:name w:val="xl117"/>
    <w:basedOn w:val="901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77" w:customStyle="1">
    <w:name w:val="xl118"/>
    <w:basedOn w:val="901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78" w:customStyle="1">
    <w:name w:val="xl119"/>
    <w:basedOn w:val="901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eastAsia="Times New Roman"/>
      <w:sz w:val="20"/>
      <w:szCs w:val="20"/>
      <w:lang w:eastAsia="ru-RU"/>
    </w:rPr>
  </w:style>
  <w:style w:type="paragraph" w:styleId="979" w:customStyle="1">
    <w:name w:val="xl120"/>
    <w:basedOn w:val="901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styleId="980" w:customStyle="1">
    <w:name w:val="xl121"/>
    <w:basedOn w:val="90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/>
      <w:b/>
      <w:bCs/>
      <w:sz w:val="20"/>
      <w:szCs w:val="20"/>
      <w:lang w:eastAsia="ru-RU"/>
    </w:rPr>
  </w:style>
  <w:style w:type="paragraph" w:styleId="981" w:customStyle="1">
    <w:name w:val="Main 14"/>
    <w:basedOn w:val="949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982" w:customStyle="1">
    <w:name w:val="Normal (Web)"/>
    <w:basedOn w:val="774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1DD84-5872-4BA0-9ACC-A417DF63C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Андреевич</dc:creator>
  <cp:keywords/>
  <dc:description/>
  <cp:revision>22</cp:revision>
  <dcterms:created xsi:type="dcterms:W3CDTF">2024-01-19T12:44:00Z</dcterms:created>
  <dcterms:modified xsi:type="dcterms:W3CDTF">2025-07-31T05:27:36Z</dcterms:modified>
</cp:coreProperties>
</file>